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643" w:firstLineChars="200"/>
        <w:jc w:val="center"/>
        <w:rPr>
          <w:rFonts w:hint="eastAsia" w:ascii="宋体" w:hAnsi="宋体"/>
          <w:b/>
          <w:color w:val="auto"/>
          <w:sz w:val="32"/>
          <w:szCs w:val="32"/>
        </w:rPr>
      </w:pPr>
    </w:p>
    <w:p>
      <w:pPr>
        <w:snapToGrid w:val="0"/>
        <w:spacing w:line="360" w:lineRule="auto"/>
        <w:jc w:val="center"/>
        <w:rPr>
          <w:rFonts w:hint="default" w:ascii="宋体" w:hAnsi="宋体" w:eastAsia="宋体" w:cs="Times New Roman"/>
          <w:b/>
          <w:color w:val="auto"/>
          <w:sz w:val="36"/>
          <w:szCs w:val="36"/>
          <w:highlight w:val="none"/>
          <w:lang w:val="en-US" w:eastAsia="zh-CN"/>
        </w:rPr>
      </w:pPr>
      <w:r>
        <w:rPr>
          <w:rFonts w:hint="eastAsia" w:ascii="宋体" w:hAnsi="宋体" w:eastAsia="宋体" w:cs="Times New Roman"/>
          <w:b/>
          <w:color w:val="auto"/>
          <w:sz w:val="36"/>
          <w:szCs w:val="36"/>
          <w:highlight w:val="none"/>
        </w:rPr>
        <w:t>广州白云国际机场三期扩建工程</w:t>
      </w:r>
      <w:r>
        <w:rPr>
          <w:rFonts w:hint="eastAsia" w:ascii="宋体" w:hAnsi="宋体" w:eastAsia="宋体" w:cs="Times New Roman"/>
          <w:b/>
          <w:color w:val="auto"/>
          <w:sz w:val="36"/>
          <w:szCs w:val="36"/>
          <w:highlight w:val="none"/>
          <w:lang w:val="en-US" w:eastAsia="zh-CN"/>
        </w:rPr>
        <w:t>配套供冷工程</w:t>
      </w:r>
    </w:p>
    <w:p>
      <w:pPr>
        <w:snapToGrid w:val="0"/>
        <w:spacing w:line="360" w:lineRule="auto"/>
        <w:jc w:val="center"/>
        <w:rPr>
          <w:rFonts w:hint="eastAsia"/>
        </w:rPr>
      </w:pPr>
      <w:r>
        <w:rPr>
          <w:rFonts w:hint="eastAsia" w:ascii="宋体" w:hAnsi="宋体" w:cs="Times New Roman"/>
          <w:b/>
          <w:color w:val="auto"/>
          <w:sz w:val="36"/>
          <w:szCs w:val="36"/>
          <w:highlight w:val="none"/>
          <w:lang w:val="en-US" w:eastAsia="zh-CN"/>
        </w:rPr>
        <w:t>招标控制价</w:t>
      </w:r>
      <w:r>
        <w:rPr>
          <w:rFonts w:hint="eastAsia" w:ascii="宋体" w:hAnsi="宋体" w:eastAsia="宋体" w:cs="Times New Roman"/>
          <w:b/>
          <w:color w:val="auto"/>
          <w:sz w:val="36"/>
          <w:szCs w:val="36"/>
          <w:highlight w:val="none"/>
        </w:rPr>
        <w:t>编制说明</w:t>
      </w:r>
    </w:p>
    <w:p>
      <w:pPr>
        <w:pStyle w:val="3"/>
        <w:numPr>
          <w:ilvl w:val="0"/>
          <w:numId w:val="0"/>
        </w:numPr>
        <w:spacing w:before="120"/>
        <w:rPr>
          <w:rFonts w:ascii="宋体" w:hAnsi="宋体"/>
          <w:sz w:val="21"/>
          <w:szCs w:val="21"/>
        </w:rPr>
      </w:pPr>
      <w:r>
        <w:rPr>
          <w:rFonts w:hint="eastAsia" w:ascii="宋体" w:hAnsi="宋体"/>
          <w:sz w:val="21"/>
          <w:szCs w:val="21"/>
        </w:rPr>
        <w:t>一、工程概况</w:t>
      </w:r>
    </w:p>
    <w:p>
      <w:pPr>
        <w:pStyle w:val="36"/>
        <w:spacing w:line="400" w:lineRule="exact"/>
        <w:ind w:firstLine="525" w:firstLineChars="250"/>
        <w:rPr>
          <w:rFonts w:hAnsi="宋体" w:cs="Times New Roman"/>
          <w:kern w:val="2"/>
          <w:sz w:val="21"/>
          <w:szCs w:val="21"/>
        </w:rPr>
      </w:pPr>
      <w:bookmarkStart w:id="0" w:name="_Toc262170258"/>
      <w:r>
        <w:rPr>
          <w:rFonts w:hint="eastAsia" w:hAnsi="宋体" w:cs="Times New Roman"/>
          <w:kern w:val="2"/>
          <w:sz w:val="21"/>
          <w:szCs w:val="21"/>
        </w:rPr>
        <w:t>见招标文件。</w:t>
      </w:r>
    </w:p>
    <w:bookmarkEnd w:id="0"/>
    <w:p>
      <w:pPr>
        <w:pStyle w:val="3"/>
        <w:numPr>
          <w:ilvl w:val="0"/>
          <w:numId w:val="0"/>
        </w:numPr>
        <w:spacing w:before="120"/>
        <w:rPr>
          <w:rFonts w:ascii="宋体" w:hAnsi="宋体"/>
          <w:sz w:val="21"/>
          <w:szCs w:val="21"/>
        </w:rPr>
      </w:pPr>
      <w:r>
        <w:rPr>
          <w:rFonts w:hint="eastAsia" w:ascii="宋体" w:hAnsi="宋体"/>
          <w:sz w:val="21"/>
          <w:szCs w:val="21"/>
        </w:rPr>
        <w:t>二、招标范围</w:t>
      </w:r>
    </w:p>
    <w:p>
      <w:pPr>
        <w:pStyle w:val="36"/>
        <w:spacing w:line="400" w:lineRule="exact"/>
        <w:ind w:firstLine="525" w:firstLineChars="250"/>
        <w:rPr>
          <w:rFonts w:hAnsi="宋体" w:cs="Times New Roman"/>
          <w:kern w:val="2"/>
          <w:sz w:val="21"/>
          <w:szCs w:val="21"/>
        </w:rPr>
      </w:pPr>
      <w:r>
        <w:rPr>
          <w:rFonts w:hint="eastAsia" w:hAnsi="宋体" w:cs="Times New Roman"/>
          <w:kern w:val="2"/>
          <w:sz w:val="21"/>
          <w:szCs w:val="21"/>
        </w:rPr>
        <w:t>见招标文件。</w:t>
      </w:r>
    </w:p>
    <w:p>
      <w:pPr>
        <w:pStyle w:val="3"/>
        <w:numPr>
          <w:ilvl w:val="0"/>
          <w:numId w:val="0"/>
        </w:numPr>
        <w:spacing w:before="120"/>
        <w:rPr>
          <w:rFonts w:ascii="宋体" w:hAnsi="宋体"/>
          <w:sz w:val="21"/>
          <w:szCs w:val="21"/>
        </w:rPr>
      </w:pPr>
      <w:r>
        <w:rPr>
          <w:rFonts w:hint="eastAsia" w:ascii="宋体" w:hAnsi="宋体"/>
          <w:sz w:val="21"/>
          <w:szCs w:val="21"/>
        </w:rPr>
        <w:t>三、编制依据</w:t>
      </w:r>
    </w:p>
    <w:p>
      <w:pPr>
        <w:pStyle w:val="21"/>
        <w:numPr>
          <w:ilvl w:val="0"/>
          <w:numId w:val="2"/>
        </w:numPr>
        <w:tabs>
          <w:tab w:val="left" w:pos="0"/>
          <w:tab w:val="left" w:pos="210"/>
          <w:tab w:val="left" w:pos="420"/>
        </w:tabs>
        <w:spacing w:line="360" w:lineRule="auto"/>
        <w:ind w:left="0" w:firstLine="420" w:firstLineChars="200"/>
        <w:rPr>
          <w:rFonts w:ascii="宋体" w:hAnsi="宋体"/>
          <w:sz w:val="21"/>
          <w:szCs w:val="21"/>
        </w:rPr>
      </w:pPr>
      <w:r>
        <w:rPr>
          <w:rFonts w:hint="eastAsia" w:ascii="宋体" w:hAnsi="宋体"/>
          <w:sz w:val="21"/>
          <w:szCs w:val="21"/>
        </w:rPr>
        <w:t>《建设工程工程量清单计价规范》（GB50500-2013）</w:t>
      </w:r>
      <w:r>
        <w:rPr>
          <w:rFonts w:hint="eastAsia" w:ascii="宋体" w:hAnsi="宋体"/>
          <w:sz w:val="21"/>
          <w:szCs w:val="21"/>
          <w:lang w:eastAsia="zh-CN"/>
        </w:rPr>
        <w:t>。</w:t>
      </w:r>
    </w:p>
    <w:p>
      <w:pPr>
        <w:pStyle w:val="21"/>
        <w:numPr>
          <w:ilvl w:val="0"/>
          <w:numId w:val="2"/>
        </w:numPr>
        <w:tabs>
          <w:tab w:val="left" w:pos="0"/>
          <w:tab w:val="left" w:pos="210"/>
          <w:tab w:val="left" w:pos="420"/>
        </w:tabs>
        <w:spacing w:line="360" w:lineRule="auto"/>
        <w:ind w:left="0" w:firstLine="420" w:firstLineChars="200"/>
        <w:rPr>
          <w:rFonts w:ascii="宋体" w:hAnsi="宋体"/>
          <w:sz w:val="21"/>
          <w:szCs w:val="21"/>
        </w:rPr>
      </w:pPr>
      <w:r>
        <w:rPr>
          <w:rFonts w:ascii="宋体" w:hAnsi="宋体"/>
          <w:sz w:val="21"/>
          <w:szCs w:val="21"/>
        </w:rPr>
        <w:t>《</w:t>
      </w:r>
      <w:r>
        <w:rPr>
          <w:rFonts w:hint="eastAsia" w:ascii="宋体" w:hAnsi="宋体"/>
          <w:sz w:val="21"/>
          <w:szCs w:val="21"/>
        </w:rPr>
        <w:t>房屋建筑与装饰工程工程量计算规范》（GB50854-2013</w:t>
      </w:r>
      <w:r>
        <w:rPr>
          <w:rFonts w:ascii="宋体" w:hAnsi="宋体"/>
          <w:sz w:val="21"/>
          <w:szCs w:val="21"/>
        </w:rPr>
        <w:t>）</w:t>
      </w:r>
      <w:r>
        <w:rPr>
          <w:rFonts w:hint="eastAsia" w:ascii="宋体" w:hAnsi="宋体"/>
          <w:sz w:val="21"/>
          <w:szCs w:val="21"/>
        </w:rPr>
        <w:t>、《通用安装工程工程量计算规范》（GB50856-2013）、《市政工程工程量计算规范》（GB50857-2013）、</w:t>
      </w:r>
      <w:r>
        <w:rPr>
          <w:rFonts w:ascii="宋体" w:hAnsi="宋体"/>
          <w:sz w:val="21"/>
          <w:szCs w:val="21"/>
        </w:rPr>
        <w:t>《</w:t>
      </w:r>
      <w:r>
        <w:rPr>
          <w:rFonts w:hint="eastAsia" w:ascii="宋体" w:hAnsi="宋体"/>
          <w:sz w:val="21"/>
          <w:szCs w:val="21"/>
        </w:rPr>
        <w:t>关于实施&lt;房屋建筑与装饰工程工程量计算规范&gt;</w:t>
      </w:r>
      <w:r>
        <w:rPr>
          <w:rFonts w:ascii="宋体" w:hAnsi="宋体"/>
          <w:sz w:val="21"/>
          <w:szCs w:val="21"/>
        </w:rPr>
        <w:t>（GB50854-2013）</w:t>
      </w:r>
      <w:r>
        <w:rPr>
          <w:rFonts w:hint="eastAsia" w:ascii="宋体" w:hAnsi="宋体"/>
          <w:sz w:val="21"/>
          <w:szCs w:val="21"/>
        </w:rPr>
        <w:t>等的若干意见》</w:t>
      </w:r>
      <w:r>
        <w:rPr>
          <w:rFonts w:ascii="宋体" w:hAnsi="宋体"/>
          <w:sz w:val="21"/>
          <w:szCs w:val="21"/>
        </w:rPr>
        <w:t>（</w:t>
      </w:r>
      <w:r>
        <w:rPr>
          <w:rFonts w:hint="eastAsia" w:ascii="宋体" w:hAnsi="宋体"/>
          <w:sz w:val="21"/>
          <w:szCs w:val="21"/>
        </w:rPr>
        <w:t>粤建造发〔201</w:t>
      </w:r>
      <w:r>
        <w:rPr>
          <w:rFonts w:ascii="宋体" w:hAnsi="宋体"/>
          <w:sz w:val="21"/>
          <w:szCs w:val="21"/>
        </w:rPr>
        <w:t>3</w:t>
      </w:r>
      <w:r>
        <w:rPr>
          <w:rFonts w:hint="eastAsia" w:ascii="宋体" w:hAnsi="宋体"/>
          <w:sz w:val="21"/>
          <w:szCs w:val="21"/>
        </w:rPr>
        <w:t>〕</w:t>
      </w:r>
      <w:r>
        <w:rPr>
          <w:rFonts w:ascii="宋体" w:hAnsi="宋体"/>
          <w:sz w:val="21"/>
          <w:szCs w:val="21"/>
        </w:rPr>
        <w:t>4</w:t>
      </w:r>
      <w:r>
        <w:rPr>
          <w:rFonts w:hint="eastAsia" w:ascii="宋体" w:hAnsi="宋体"/>
          <w:sz w:val="21"/>
          <w:szCs w:val="21"/>
        </w:rPr>
        <w:t>号</w:t>
      </w:r>
      <w:r>
        <w:rPr>
          <w:rFonts w:ascii="宋体" w:hAnsi="宋体"/>
          <w:sz w:val="21"/>
          <w:szCs w:val="21"/>
        </w:rPr>
        <w:t>）、《</w:t>
      </w:r>
      <w:r>
        <w:rPr>
          <w:rFonts w:hint="eastAsia" w:ascii="宋体" w:hAnsi="宋体"/>
          <w:sz w:val="21"/>
          <w:szCs w:val="21"/>
        </w:rPr>
        <w:t>关于贯彻&lt;市政工程工程量计算规范&gt;</w:t>
      </w:r>
      <w:r>
        <w:rPr>
          <w:rFonts w:ascii="宋体" w:hAnsi="宋体"/>
          <w:sz w:val="21"/>
          <w:szCs w:val="21"/>
        </w:rPr>
        <w:t>（GB50857-2013）</w:t>
      </w:r>
      <w:r>
        <w:rPr>
          <w:rFonts w:hint="eastAsia" w:ascii="宋体" w:hAnsi="宋体"/>
          <w:sz w:val="21"/>
          <w:szCs w:val="21"/>
        </w:rPr>
        <w:t>的实施意见》(粤建造发〔201</w:t>
      </w:r>
      <w:r>
        <w:rPr>
          <w:rFonts w:ascii="宋体" w:hAnsi="宋体"/>
          <w:sz w:val="21"/>
          <w:szCs w:val="21"/>
        </w:rPr>
        <w:t>4</w:t>
      </w:r>
      <w:r>
        <w:rPr>
          <w:rFonts w:hint="eastAsia" w:ascii="宋体" w:hAnsi="宋体"/>
          <w:sz w:val="21"/>
          <w:szCs w:val="21"/>
        </w:rPr>
        <w:t>〕</w:t>
      </w:r>
      <w:r>
        <w:rPr>
          <w:rFonts w:ascii="宋体" w:hAnsi="宋体"/>
          <w:sz w:val="21"/>
          <w:szCs w:val="21"/>
        </w:rPr>
        <w:t>3</w:t>
      </w:r>
      <w:r>
        <w:rPr>
          <w:rFonts w:hint="eastAsia" w:ascii="宋体" w:hAnsi="宋体"/>
          <w:sz w:val="21"/>
          <w:szCs w:val="21"/>
        </w:rPr>
        <w:t>号</w:t>
      </w:r>
      <w:r>
        <w:rPr>
          <w:rFonts w:ascii="宋体" w:hAnsi="宋体"/>
          <w:sz w:val="21"/>
          <w:szCs w:val="21"/>
        </w:rPr>
        <w:t>）、《</w:t>
      </w:r>
      <w:r>
        <w:rPr>
          <w:rFonts w:hint="eastAsia" w:ascii="宋体" w:hAnsi="宋体"/>
          <w:sz w:val="21"/>
          <w:szCs w:val="21"/>
        </w:rPr>
        <w:t>关于贯彻&lt;通用安装工程工程量计算规范&gt;（</w:t>
      </w:r>
      <w:r>
        <w:rPr>
          <w:rFonts w:ascii="宋体" w:hAnsi="宋体"/>
          <w:sz w:val="21"/>
          <w:szCs w:val="21"/>
        </w:rPr>
        <w:t>GB50856-2013</w:t>
      </w:r>
      <w:r>
        <w:rPr>
          <w:rFonts w:hint="eastAsia" w:ascii="宋体" w:hAnsi="宋体"/>
          <w:sz w:val="21"/>
          <w:szCs w:val="21"/>
        </w:rPr>
        <w:t>）的实施意见》</w:t>
      </w:r>
      <w:r>
        <w:rPr>
          <w:rFonts w:ascii="宋体" w:hAnsi="宋体"/>
          <w:sz w:val="21"/>
          <w:szCs w:val="21"/>
        </w:rPr>
        <w:t>（</w:t>
      </w:r>
      <w:r>
        <w:rPr>
          <w:rFonts w:hint="eastAsia" w:ascii="宋体" w:hAnsi="宋体"/>
          <w:sz w:val="21"/>
          <w:szCs w:val="21"/>
        </w:rPr>
        <w:t>粤建造发〔201</w:t>
      </w:r>
      <w:r>
        <w:rPr>
          <w:rFonts w:ascii="宋体" w:hAnsi="宋体"/>
          <w:sz w:val="21"/>
          <w:szCs w:val="21"/>
        </w:rPr>
        <w:t>4</w:t>
      </w:r>
      <w:r>
        <w:rPr>
          <w:rFonts w:hint="eastAsia" w:ascii="宋体" w:hAnsi="宋体"/>
          <w:sz w:val="21"/>
          <w:szCs w:val="21"/>
        </w:rPr>
        <w:t>〕</w:t>
      </w:r>
      <w:r>
        <w:rPr>
          <w:rFonts w:ascii="宋体" w:hAnsi="宋体"/>
          <w:sz w:val="21"/>
          <w:szCs w:val="21"/>
        </w:rPr>
        <w:t>4</w:t>
      </w:r>
      <w:r>
        <w:rPr>
          <w:rFonts w:hint="eastAsia" w:ascii="宋体" w:hAnsi="宋体"/>
          <w:sz w:val="21"/>
          <w:szCs w:val="21"/>
        </w:rPr>
        <w:t>号</w:t>
      </w:r>
      <w:r>
        <w:rPr>
          <w:rFonts w:ascii="宋体" w:hAnsi="宋体"/>
          <w:sz w:val="21"/>
          <w:szCs w:val="21"/>
        </w:rPr>
        <w:t>）</w:t>
      </w:r>
      <w:r>
        <w:rPr>
          <w:rFonts w:hint="eastAsia" w:ascii="宋体" w:hAnsi="宋体"/>
          <w:sz w:val="21"/>
          <w:szCs w:val="21"/>
          <w:lang w:eastAsia="zh-CN"/>
        </w:rPr>
        <w:t>。</w:t>
      </w:r>
    </w:p>
    <w:p>
      <w:pPr>
        <w:pStyle w:val="21"/>
        <w:numPr>
          <w:ilvl w:val="0"/>
          <w:numId w:val="2"/>
        </w:numPr>
        <w:tabs>
          <w:tab w:val="left" w:pos="0"/>
          <w:tab w:val="left" w:pos="210"/>
          <w:tab w:val="left" w:pos="420"/>
        </w:tabs>
        <w:spacing w:line="360" w:lineRule="auto"/>
        <w:ind w:left="0" w:firstLine="420" w:firstLineChars="200"/>
        <w:rPr>
          <w:rFonts w:ascii="宋体" w:hAnsi="宋体"/>
          <w:sz w:val="21"/>
          <w:szCs w:val="21"/>
        </w:rPr>
      </w:pPr>
      <w:r>
        <w:rPr>
          <w:rFonts w:hint="eastAsia" w:ascii="宋体" w:hAnsi="宋体"/>
          <w:sz w:val="21"/>
          <w:szCs w:val="21"/>
        </w:rPr>
        <w:t>《广东省建设工程计价依据（2018</w:t>
      </w:r>
      <w:r>
        <w:rPr>
          <w:rFonts w:ascii="宋体" w:hAnsi="宋体"/>
          <w:sz w:val="21"/>
          <w:szCs w:val="21"/>
        </w:rPr>
        <w:t>）</w:t>
      </w:r>
      <w:r>
        <w:rPr>
          <w:rFonts w:hint="eastAsia" w:ascii="宋体" w:hAnsi="宋体"/>
          <w:sz w:val="21"/>
          <w:szCs w:val="21"/>
        </w:rPr>
        <w:t>》，包括《广东省房屋建筑与装饰工程综合定额（2018）》、《广东省市政工程综合定额（2018）》、《广东省通用安装工程综合定额（2018）》</w:t>
      </w:r>
      <w:r>
        <w:rPr>
          <w:rFonts w:hint="eastAsia" w:ascii="宋体" w:hAnsi="宋体"/>
          <w:sz w:val="21"/>
          <w:szCs w:val="21"/>
          <w:lang w:eastAsia="zh-CN"/>
        </w:rPr>
        <w:t>、</w:t>
      </w:r>
      <w:r>
        <w:rPr>
          <w:rFonts w:hint="eastAsia" w:ascii="宋体" w:hAnsi="宋体"/>
          <w:sz w:val="21"/>
          <w:szCs w:val="21"/>
        </w:rPr>
        <w:t>《广东省</w:t>
      </w:r>
      <w:r>
        <w:rPr>
          <w:rFonts w:hint="eastAsia" w:ascii="宋体" w:hAnsi="宋体"/>
          <w:sz w:val="21"/>
          <w:szCs w:val="21"/>
          <w:lang w:eastAsia="zh-CN"/>
        </w:rPr>
        <w:t>园林绿化</w:t>
      </w:r>
      <w:r>
        <w:rPr>
          <w:rFonts w:hint="eastAsia" w:ascii="宋体" w:hAnsi="宋体"/>
          <w:sz w:val="21"/>
          <w:szCs w:val="21"/>
        </w:rPr>
        <w:t>工程综合定额（2018）》、《广东省建设工程施工机具台班费用编制规则（2018）》</w:t>
      </w:r>
      <w:r>
        <w:rPr>
          <w:rFonts w:hint="eastAsia" w:ascii="宋体" w:hAnsi="宋体"/>
          <w:sz w:val="21"/>
          <w:szCs w:val="21"/>
          <w:lang w:eastAsia="zh-CN"/>
        </w:rPr>
        <w:t>。</w:t>
      </w:r>
    </w:p>
    <w:p>
      <w:pPr>
        <w:pStyle w:val="21"/>
        <w:numPr>
          <w:ilvl w:val="0"/>
          <w:numId w:val="2"/>
        </w:numPr>
        <w:tabs>
          <w:tab w:val="left" w:pos="0"/>
          <w:tab w:val="left" w:pos="210"/>
          <w:tab w:val="left" w:pos="420"/>
        </w:tabs>
        <w:spacing w:line="360" w:lineRule="auto"/>
        <w:ind w:left="0" w:firstLine="420" w:firstLineChars="200"/>
        <w:rPr>
          <w:rFonts w:ascii="宋体" w:hAnsi="宋体"/>
          <w:sz w:val="21"/>
          <w:szCs w:val="21"/>
        </w:rPr>
      </w:pPr>
      <w:r>
        <w:rPr>
          <w:rFonts w:hint="eastAsia" w:ascii="宋体" w:hAnsi="宋体"/>
          <w:sz w:val="21"/>
          <w:szCs w:val="21"/>
        </w:rPr>
        <w:t>《广东省住房和城乡建设厅关于调整广东省建设工程计价依据增值税税率的通知》（粤建标函〔2019〕819号）；</w:t>
      </w:r>
    </w:p>
    <w:p>
      <w:pPr>
        <w:keepNext w:val="0"/>
        <w:keepLines w:val="0"/>
        <w:widowControl w:val="0"/>
        <w:numPr>
          <w:ilvl w:val="0"/>
          <w:numId w:val="2"/>
        </w:numPr>
        <w:suppressLineNumbers w:val="0"/>
        <w:tabs>
          <w:tab w:val="left" w:pos="0"/>
          <w:tab w:val="left" w:pos="210"/>
          <w:tab w:val="left" w:pos="420"/>
          <w:tab w:val="left" w:pos="845"/>
        </w:tabs>
        <w:spacing w:before="0" w:beforeAutospacing="0" w:after="0" w:afterAutospacing="0" w:line="360" w:lineRule="auto"/>
        <w:ind w:left="0" w:right="0" w:firstLine="420" w:firstLineChars="200"/>
        <w:jc w:val="both"/>
        <w:rPr>
          <w:rFonts w:hint="eastAsia" w:ascii="宋体" w:hAnsi="宋体" w:eastAsiaTheme="minorEastAsia" w:cstheme="minorBidi"/>
          <w:kern w:val="2"/>
          <w:sz w:val="21"/>
          <w:szCs w:val="21"/>
          <w:lang w:val="en-US" w:eastAsia="zh-CN" w:bidi="ar-SA"/>
        </w:rPr>
      </w:pPr>
      <w:r>
        <w:rPr>
          <w:rFonts w:hint="eastAsia" w:ascii="宋体" w:hAnsi="宋体"/>
          <w:sz w:val="21"/>
          <w:szCs w:val="21"/>
          <w:highlight w:val="none"/>
        </w:rPr>
        <w:t>招标图纸</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①广州白云国际机场三期扩建配套供冷工程结构专业施工图（版本：V1.0，日期：2023.10.15）；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②广州白云国际机场三期扩建配套供冷工程建筑专业施工图（版本：V1.0，日期：2023.10.15）；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③广州白云国际机场三期扩建配套供冷工程空调专业施工图（版本：V1.0，日期：2023.10.15）；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④广州白云国际机场三期扩建配套供冷工程电气专业施工图（版本：V1.0，日期：2023.10.15）；</w:t>
      </w:r>
    </w:p>
    <w:p>
      <w:pPr>
        <w:pStyle w:val="21"/>
        <w:tabs>
          <w:tab w:val="left" w:pos="0"/>
          <w:tab w:val="left" w:pos="210"/>
          <w:tab w:val="left" w:pos="420"/>
        </w:tabs>
        <w:snapToGrid w:val="0"/>
        <w:spacing w:line="360" w:lineRule="auto"/>
        <w:ind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⑤广州白云国际机场三期扩建配套供冷工程给排水专业施工图（版本：V1.0，日期：2023.10.15）；</w:t>
      </w:r>
    </w:p>
    <w:p>
      <w:pPr>
        <w:pStyle w:val="21"/>
        <w:tabs>
          <w:tab w:val="left" w:pos="0"/>
          <w:tab w:val="left" w:pos="210"/>
          <w:tab w:val="left" w:pos="420"/>
        </w:tabs>
        <w:snapToGrid w:val="0"/>
        <w:spacing w:line="360" w:lineRule="auto"/>
        <w:ind w:firstLine="420" w:firstLineChars="200"/>
        <w:rPr>
          <w:rFonts w:hint="eastAsia"/>
          <w:lang w:val="en-US" w:eastAsia="zh-CN"/>
        </w:rPr>
      </w:pPr>
      <w:r>
        <w:rPr>
          <w:rFonts w:hint="eastAsia" w:ascii="宋体" w:hAnsi="宋体" w:eastAsia="宋体" w:cs="Times New Roman"/>
          <w:b w:val="0"/>
          <w:bCs w:val="0"/>
          <w:color w:val="auto"/>
          <w:kern w:val="2"/>
          <w:sz w:val="21"/>
          <w:szCs w:val="21"/>
          <w:highlight w:val="none"/>
          <w:lang w:val="en-US" w:eastAsia="zh-CN" w:bidi="ar-SA"/>
        </w:rPr>
        <w:t>⑥广州白云国际机场三期扩建配套供冷工程智能化专业施工图（版本：V1.0，日期：2023.10.15）。</w:t>
      </w:r>
    </w:p>
    <w:p>
      <w:pPr>
        <w:pStyle w:val="21"/>
        <w:numPr>
          <w:ilvl w:val="0"/>
          <w:numId w:val="2"/>
        </w:numPr>
        <w:tabs>
          <w:tab w:val="left" w:pos="420"/>
        </w:tabs>
        <w:spacing w:line="360" w:lineRule="auto"/>
        <w:ind w:left="0" w:firstLine="420" w:firstLineChars="200"/>
        <w:rPr>
          <w:rFonts w:ascii="宋体" w:hAnsi="宋体"/>
          <w:sz w:val="21"/>
          <w:szCs w:val="21"/>
        </w:rPr>
      </w:pPr>
      <w:r>
        <w:rPr>
          <w:rFonts w:ascii="宋体" w:hAnsi="宋体"/>
          <w:sz w:val="21"/>
          <w:szCs w:val="21"/>
        </w:rPr>
        <w:t>《</w:t>
      </w:r>
      <w:r>
        <w:rPr>
          <w:rFonts w:hint="eastAsia" w:ascii="宋体" w:hAnsi="宋体"/>
          <w:sz w:val="21"/>
          <w:szCs w:val="21"/>
        </w:rPr>
        <w:t>广州市建设工程造价管理站关于发布202</w:t>
      </w:r>
      <w:r>
        <w:rPr>
          <w:rFonts w:hint="eastAsia" w:ascii="宋体" w:hAnsi="宋体"/>
          <w:sz w:val="21"/>
          <w:szCs w:val="21"/>
          <w:lang w:val="en-US" w:eastAsia="zh-CN"/>
        </w:rPr>
        <w:t>3</w:t>
      </w:r>
      <w:r>
        <w:rPr>
          <w:rFonts w:hint="eastAsia" w:ascii="宋体" w:hAnsi="宋体"/>
          <w:sz w:val="21"/>
          <w:szCs w:val="21"/>
        </w:rPr>
        <w:t>年</w:t>
      </w:r>
      <w:r>
        <w:rPr>
          <w:rFonts w:hint="default" w:ascii="宋体" w:hAnsi="宋体"/>
          <w:sz w:val="21"/>
          <w:szCs w:val="21"/>
        </w:rPr>
        <w:t>9</w:t>
      </w:r>
      <w:r>
        <w:rPr>
          <w:rFonts w:hint="eastAsia" w:ascii="宋体" w:hAnsi="宋体"/>
          <w:sz w:val="21"/>
          <w:szCs w:val="21"/>
        </w:rPr>
        <w:t>月份广州市建设工程价格信息及有关计价办法的通知》（穗建造价〔202</w:t>
      </w:r>
      <w:r>
        <w:rPr>
          <w:rFonts w:hint="eastAsia" w:ascii="宋体" w:hAnsi="宋体"/>
          <w:sz w:val="21"/>
          <w:szCs w:val="21"/>
          <w:lang w:val="en-US" w:eastAsia="zh-CN"/>
        </w:rPr>
        <w:t>3</w:t>
      </w:r>
      <w:r>
        <w:rPr>
          <w:rFonts w:hint="eastAsia" w:ascii="宋体" w:hAnsi="宋体"/>
          <w:sz w:val="21"/>
          <w:szCs w:val="21"/>
        </w:rPr>
        <w:t>〕</w:t>
      </w:r>
      <w:r>
        <w:rPr>
          <w:rFonts w:hint="default" w:ascii="宋体" w:hAnsi="宋体"/>
          <w:sz w:val="21"/>
          <w:szCs w:val="21"/>
        </w:rPr>
        <w:t>99</w:t>
      </w:r>
      <w:r>
        <w:rPr>
          <w:rFonts w:hint="eastAsia" w:ascii="宋体" w:hAnsi="宋体"/>
          <w:sz w:val="21"/>
          <w:szCs w:val="21"/>
        </w:rPr>
        <w:t>号）；</w:t>
      </w:r>
    </w:p>
    <w:p>
      <w:pPr>
        <w:pStyle w:val="21"/>
        <w:numPr>
          <w:ilvl w:val="0"/>
          <w:numId w:val="2"/>
        </w:numPr>
        <w:tabs>
          <w:tab w:val="left" w:pos="420"/>
        </w:tabs>
        <w:spacing w:line="360" w:lineRule="auto"/>
        <w:ind w:left="0" w:firstLine="420" w:firstLineChars="200"/>
        <w:rPr>
          <w:rFonts w:ascii="宋体" w:hAnsi="宋体"/>
          <w:sz w:val="21"/>
          <w:szCs w:val="21"/>
        </w:rPr>
      </w:pPr>
      <w:r>
        <w:rPr>
          <w:rFonts w:hint="eastAsia" w:ascii="宋体" w:hAnsi="宋体"/>
          <w:sz w:val="21"/>
          <w:szCs w:val="21"/>
        </w:rPr>
        <w:t>《关于发布我省房屋建筑和市政基础设施工程人工价格指数和台班价格指数的通知》（粤标定函〔2022〕117 号）；</w:t>
      </w:r>
    </w:p>
    <w:p>
      <w:pPr>
        <w:pStyle w:val="21"/>
        <w:numPr>
          <w:ilvl w:val="0"/>
          <w:numId w:val="2"/>
        </w:numPr>
        <w:tabs>
          <w:tab w:val="left" w:pos="420"/>
        </w:tabs>
        <w:spacing w:line="360" w:lineRule="auto"/>
        <w:ind w:left="0" w:firstLine="420" w:firstLineChars="200"/>
        <w:rPr>
          <w:rFonts w:hint="default" w:ascii="宋体" w:hAnsi="宋体" w:eastAsia="宋体" w:cs="Times New Roman"/>
          <w:b/>
          <w:bCs/>
          <w:color w:val="auto"/>
          <w:kern w:val="2"/>
          <w:sz w:val="21"/>
          <w:szCs w:val="21"/>
          <w:highlight w:val="none"/>
          <w:lang w:val="en-US" w:eastAsia="zh-CN" w:bidi="ar-SA"/>
        </w:rPr>
      </w:pPr>
      <w:r>
        <w:rPr>
          <w:rFonts w:hint="eastAsia" w:ascii="宋体" w:hAnsi="宋体"/>
          <w:sz w:val="21"/>
          <w:szCs w:val="21"/>
        </w:rPr>
        <w:t>国家相关法规及省市有关计费、计价文件规定。</w:t>
      </w:r>
    </w:p>
    <w:p>
      <w:pPr>
        <w:pStyle w:val="3"/>
        <w:numPr>
          <w:ilvl w:val="0"/>
          <w:numId w:val="0"/>
        </w:numPr>
        <w:spacing w:before="120"/>
        <w:rPr>
          <w:rFonts w:hint="default" w:ascii="宋体" w:hAnsi="宋体"/>
          <w:sz w:val="21"/>
          <w:szCs w:val="21"/>
          <w:lang w:val="en-US" w:eastAsia="zh-CN"/>
        </w:rPr>
      </w:pPr>
      <w:r>
        <w:rPr>
          <w:rFonts w:hint="eastAsia" w:ascii="宋体" w:hAnsi="宋体"/>
          <w:sz w:val="21"/>
          <w:szCs w:val="21"/>
          <w:lang w:eastAsia="zh-CN"/>
        </w:rPr>
        <w:t>四、</w:t>
      </w:r>
      <w:r>
        <w:rPr>
          <w:rFonts w:hint="eastAsia" w:ascii="宋体" w:hAnsi="宋体"/>
          <w:sz w:val="21"/>
          <w:szCs w:val="21"/>
          <w:lang w:val="en-US" w:eastAsia="zh-CN"/>
        </w:rPr>
        <w:t>招标控制价</w:t>
      </w:r>
    </w:p>
    <w:p>
      <w:pPr>
        <w:pStyle w:val="21"/>
        <w:numPr>
          <w:ilvl w:val="0"/>
          <w:numId w:val="0"/>
        </w:numPr>
        <w:tabs>
          <w:tab w:val="left" w:pos="0"/>
          <w:tab w:val="left" w:pos="210"/>
          <w:tab w:val="left" w:pos="420"/>
        </w:tabs>
        <w:snapToGrid w:val="0"/>
        <w:spacing w:line="360" w:lineRule="auto"/>
        <w:ind w:firstLine="422" w:firstLineChars="200"/>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本项目招标控制价为198,909,091.00元(其中绿色施工安全防护措施费4,335,633.18元、暂列金额15,267,251.21元,联合调试试运行电费4,587,155.96元）。</w:t>
      </w:r>
    </w:p>
    <w:p>
      <w:pPr>
        <w:pStyle w:val="21"/>
        <w:numPr>
          <w:ilvl w:val="0"/>
          <w:numId w:val="0"/>
        </w:numPr>
        <w:tabs>
          <w:tab w:val="left" w:pos="0"/>
          <w:tab w:val="left" w:pos="210"/>
          <w:tab w:val="left" w:pos="420"/>
        </w:tabs>
        <w:snapToGrid w:val="0"/>
        <w:spacing w:line="360" w:lineRule="auto"/>
        <w:ind w:firstLine="422" w:firstLineChars="200"/>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本项目除设置总价招标控制价外，同时设置单项工程招标控制价，招标控制价总价及单项工程均不得超过下表的招标控制价金额，具体详见下表：</w:t>
      </w:r>
    </w:p>
    <w:p>
      <w:pPr>
        <w:pStyle w:val="21"/>
        <w:numPr>
          <w:ilvl w:val="0"/>
          <w:numId w:val="0"/>
        </w:numPr>
        <w:tabs>
          <w:tab w:val="left" w:pos="0"/>
          <w:tab w:val="left" w:pos="210"/>
          <w:tab w:val="left" w:pos="420"/>
        </w:tabs>
        <w:snapToGrid w:val="0"/>
        <w:spacing w:line="360" w:lineRule="auto"/>
        <w:ind w:firstLine="422" w:firstLineChars="200"/>
        <w:rPr>
          <w:rFonts w:hint="default" w:ascii="宋体" w:hAnsi="宋体"/>
          <w:b w:val="0"/>
          <w:bCs w:val="0"/>
          <w:color w:val="auto"/>
          <w:sz w:val="21"/>
          <w:szCs w:val="21"/>
          <w:highlight w:val="none"/>
          <w:lang w:val="en-US" w:eastAsia="zh-CN"/>
        </w:rPr>
      </w:pPr>
      <w:r>
        <w:rPr>
          <w:rFonts w:hint="eastAsia" w:ascii="宋体" w:hAnsi="宋体"/>
          <w:b/>
          <w:bCs/>
          <w:color w:val="auto"/>
          <w:sz w:val="21"/>
          <w:szCs w:val="21"/>
          <w:highlight w:val="none"/>
          <w:lang w:val="en-US" w:eastAsia="zh-CN"/>
        </w:rPr>
        <w:t>本项目的工程成本警戒价为招标控制价的80%，除设置总价工程成本警戒价外，同时设置单项工程成本警戒价，具体详见下表：</w:t>
      </w:r>
    </w:p>
    <w:tbl>
      <w:tblPr>
        <w:tblStyle w:val="17"/>
        <w:tblW w:w="87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2471"/>
        <w:gridCol w:w="2645"/>
        <w:gridCol w:w="26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z w:val="21"/>
                <w:szCs w:val="21"/>
                <w:lang w:val="en-US" w:eastAsia="zh-CN" w:bidi="ar"/>
              </w:rPr>
              <w:t>序号</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z w:val="21"/>
                <w:szCs w:val="21"/>
                <w:lang w:val="en-US" w:eastAsia="zh-CN" w:bidi="ar"/>
              </w:rPr>
              <w:t>单项工程名称</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z w:val="21"/>
                <w:szCs w:val="21"/>
                <w:lang w:val="en-US" w:eastAsia="zh-CN" w:bidi="ar"/>
              </w:rPr>
              <w:t>招标控制价金额（元）</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33"/>
                <w:sz w:val="21"/>
                <w:szCs w:val="21"/>
                <w:lang w:val="en-US" w:eastAsia="zh-CN" w:bidi="ar"/>
              </w:rPr>
              <w:t>工程成本警戒价金额（元）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bottom"/>
          </w:tcPr>
          <w:p>
            <w:pPr>
              <w:jc w:val="center"/>
              <w:rPr>
                <w:rFonts w:hint="eastAsia" w:ascii="宋体" w:hAnsi="宋体" w:eastAsia="宋体" w:cs="宋体"/>
                <w:i w:val="0"/>
                <w:iCs w:val="0"/>
                <w:color w:val="000000"/>
                <w:sz w:val="21"/>
                <w:szCs w:val="21"/>
                <w:u w:val="none"/>
              </w:rPr>
            </w:pP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default" w:ascii="宋体" w:hAnsi="宋体" w:eastAsia="宋体" w:cs="宋体"/>
                <w:b/>
                <w:bCs/>
                <w:i w:val="0"/>
                <w:iCs w:val="0"/>
                <w:color w:val="000000"/>
                <w:kern w:val="0"/>
                <w:sz w:val="21"/>
                <w:szCs w:val="21"/>
                <w:u w:val="none"/>
                <w:lang w:val="en-US" w:eastAsia="zh-CN" w:bidi="ar"/>
              </w:rPr>
              <w:t>合计</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sz w:val="21"/>
                <w:szCs w:val="21"/>
                <w:u w:val="none"/>
                <w:lang w:val="en-US" w:eastAsia="zh-CN"/>
              </w:rPr>
              <w:t xml:space="preserve">198,909,091.00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bidi="ar"/>
              </w:rPr>
              <w:t xml:space="preserve">159,127,272.80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室外空调冷水管</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24,789,096.80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19,831,277.44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冷站建筑装饰工程</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35,012,801.13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28,010,240.90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冷站机电安装工程</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76,781,370.53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61,425,096.42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冷罐</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49,567,308.85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39,653,847.08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2471"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262626"/>
                <w:kern w:val="0"/>
                <w:sz w:val="21"/>
                <w:szCs w:val="21"/>
                <w:u w:val="none"/>
                <w:lang w:val="en-US" w:eastAsia="zh-CN" w:bidi="ar"/>
              </w:rPr>
              <w:t>室外配套工程</w:t>
            </w:r>
          </w:p>
        </w:tc>
        <w:tc>
          <w:tcPr>
            <w:tcW w:w="2645"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12,758,513.69 </w:t>
            </w:r>
          </w:p>
        </w:tc>
        <w:tc>
          <w:tcPr>
            <w:tcW w:w="2633"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i w:val="0"/>
                <w:iCs w:val="0"/>
                <w:color w:val="262626"/>
                <w:kern w:val="0"/>
                <w:sz w:val="21"/>
                <w:szCs w:val="21"/>
                <w:u w:val="none"/>
                <w:lang w:val="en-US" w:eastAsia="zh-CN" w:bidi="ar"/>
              </w:rPr>
              <w:t xml:space="preserve">10,206,810.95 </w:t>
            </w:r>
          </w:p>
        </w:tc>
      </w:tr>
    </w:tbl>
    <w:p>
      <w:pPr>
        <w:pStyle w:val="6"/>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b/>
          <w:bCs/>
          <w:color w:val="auto"/>
          <w:sz w:val="21"/>
          <w:szCs w:val="21"/>
          <w:highlight w:val="none"/>
        </w:rPr>
      </w:pPr>
    </w:p>
    <w:p>
      <w:pPr>
        <w:pStyle w:val="6"/>
        <w:keepNext/>
        <w:keepLines/>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rPr>
        <w:t>本项目不可竞争费用明细公布如下：</w:t>
      </w:r>
    </w:p>
    <w:tbl>
      <w:tblPr>
        <w:tblStyle w:val="17"/>
        <w:tblpPr w:leftFromText="180" w:rightFromText="180" w:vertAnchor="text" w:horzAnchor="page" w:tblpX="1249" w:tblpY="310"/>
        <w:tblOverlap w:val="never"/>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16"/>
        <w:gridCol w:w="2572"/>
        <w:gridCol w:w="2655"/>
        <w:gridCol w:w="1800"/>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716" w:type="dxa"/>
            <w:vMerge w:val="restart"/>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2572" w:type="dxa"/>
            <w:vMerge w:val="restart"/>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单项工程名称</w:t>
            </w:r>
          </w:p>
        </w:tc>
        <w:tc>
          <w:tcPr>
            <w:tcW w:w="6312" w:type="dxa"/>
            <w:gridSpan w:val="3"/>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不可竞争费用（元）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16" w:type="dxa"/>
            <w:vMerge w:val="continue"/>
            <w:shd w:val="clear" w:color="FFFFFF" w:fill="FFFFFF"/>
            <w:vAlign w:val="center"/>
          </w:tcPr>
          <w:p>
            <w:pPr>
              <w:jc w:val="center"/>
              <w:rPr>
                <w:rFonts w:hint="eastAsia" w:ascii="宋体" w:hAnsi="宋体" w:eastAsia="宋体" w:cs="宋体"/>
                <w:i w:val="0"/>
                <w:iCs w:val="0"/>
                <w:color w:val="000000"/>
                <w:sz w:val="21"/>
                <w:szCs w:val="21"/>
                <w:u w:val="none"/>
              </w:rPr>
            </w:pPr>
          </w:p>
        </w:tc>
        <w:tc>
          <w:tcPr>
            <w:tcW w:w="2572" w:type="dxa"/>
            <w:vMerge w:val="continue"/>
            <w:shd w:val="clear" w:color="FFFFFF" w:fill="FFFFFF"/>
            <w:vAlign w:val="center"/>
          </w:tcPr>
          <w:p>
            <w:pPr>
              <w:jc w:val="center"/>
              <w:rPr>
                <w:rFonts w:hint="eastAsia" w:ascii="宋体" w:hAnsi="宋体" w:eastAsia="宋体" w:cs="宋体"/>
                <w:i w:val="0"/>
                <w:iCs w:val="0"/>
                <w:color w:val="000000"/>
                <w:sz w:val="21"/>
                <w:szCs w:val="21"/>
                <w:u w:val="none"/>
              </w:rPr>
            </w:pP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按系数计算的绿色施工安全防护措施费</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暂列金额</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highlight w:val="none"/>
                <w:u w:val="none"/>
                <w:lang w:val="en-US" w:eastAsia="zh-CN" w:bidi="ar"/>
              </w:rPr>
              <w:t>联合调试试运行电费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288" w:type="dxa"/>
            <w:gridSpan w:val="2"/>
            <w:shd w:val="clear" w:color="FFFFFF"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262626"/>
                <w:kern w:val="2"/>
                <w:sz w:val="18"/>
                <w:szCs w:val="18"/>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4,335,633.18</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i w:val="0"/>
                <w:iCs w:val="0"/>
                <w:color w:val="262626"/>
                <w:kern w:val="2"/>
                <w:sz w:val="18"/>
                <w:szCs w:val="18"/>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15,267,251.21</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sz w:val="21"/>
                <w:szCs w:val="21"/>
                <w:u w:val="none"/>
              </w:rPr>
              <w:t>4</w:t>
            </w:r>
            <w:r>
              <w:rPr>
                <w:rFonts w:hint="eastAsia" w:ascii="宋体" w:hAnsi="宋体" w:eastAsia="宋体" w:cs="宋体"/>
                <w:b/>
                <w:bCs/>
                <w:i w:val="0"/>
                <w:iCs w:val="0"/>
                <w:color w:val="000000"/>
                <w:kern w:val="0"/>
                <w:sz w:val="21"/>
                <w:szCs w:val="21"/>
                <w:u w:val="none"/>
                <w:lang w:val="en-US" w:eastAsia="zh-CN" w:bidi="ar"/>
              </w:rPr>
              <w:t>,</w:t>
            </w:r>
            <w:r>
              <w:rPr>
                <w:rFonts w:hint="eastAsia" w:ascii="宋体" w:hAnsi="宋体" w:eastAsia="宋体" w:cs="宋体"/>
                <w:b/>
                <w:bCs/>
                <w:i w:val="0"/>
                <w:iCs w:val="0"/>
                <w:color w:val="000000"/>
                <w:sz w:val="21"/>
                <w:szCs w:val="21"/>
                <w:u w:val="none"/>
              </w:rPr>
              <w:t>587</w:t>
            </w:r>
            <w:r>
              <w:rPr>
                <w:rFonts w:hint="eastAsia" w:ascii="宋体" w:hAnsi="宋体" w:eastAsia="宋体" w:cs="宋体"/>
                <w:b/>
                <w:bCs/>
                <w:i w:val="0"/>
                <w:iCs w:val="0"/>
                <w:color w:val="000000"/>
                <w:kern w:val="0"/>
                <w:sz w:val="21"/>
                <w:szCs w:val="21"/>
                <w:u w:val="none"/>
                <w:lang w:val="en-US" w:eastAsia="zh-CN" w:bidi="ar"/>
              </w:rPr>
              <w:t>,</w:t>
            </w:r>
            <w:r>
              <w:rPr>
                <w:rFonts w:hint="eastAsia" w:ascii="宋体" w:hAnsi="宋体" w:eastAsia="宋体" w:cs="宋体"/>
                <w:b/>
                <w:bCs/>
                <w:i w:val="0"/>
                <w:iCs w:val="0"/>
                <w:color w:val="000000"/>
                <w:sz w:val="21"/>
                <w:szCs w:val="21"/>
                <w:u w:val="none"/>
              </w:rPr>
              <w:t>155.96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bookmarkStart w:id="1" w:name="_GoBack" w:colFirst="1" w:colLast="2"/>
            <w:r>
              <w:rPr>
                <w:rFonts w:hint="eastAsia" w:ascii="宋体" w:hAnsi="宋体" w:eastAsia="宋体" w:cs="宋体"/>
                <w:b w:val="0"/>
                <w:bCs w:val="0"/>
                <w:i w:val="0"/>
                <w:iCs w:val="0"/>
                <w:color w:val="000000"/>
                <w:kern w:val="0"/>
                <w:sz w:val="21"/>
                <w:szCs w:val="21"/>
                <w:u w:val="none"/>
                <w:lang w:val="en-US" w:eastAsia="zh-CN" w:bidi="ar"/>
              </w:rPr>
              <w:t>1</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室外空调冷水管</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739,702.08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1,990,165.28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1.1</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室外空调冷水管</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739,702.08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1,990,165.28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冷站建筑装饰工程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922,958.65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2,480,185.50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2.1</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冷站建筑与装饰工程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922,958.65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2,480,185.50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冷站机电安装工程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1,448,313.15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5,809,828.71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3.1</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高低压配电工程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122,772.65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1,153,533.77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3.2</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无功补偿与谐波治理装置</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8,822.79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5,017.66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3.3</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262626"/>
                <w:kern w:val="0"/>
                <w:sz w:val="21"/>
                <w:szCs w:val="21"/>
                <w:u w:val="none"/>
                <w:lang w:val="en-US" w:eastAsia="zh-CN" w:bidi="ar"/>
              </w:rPr>
            </w:pPr>
            <w:r>
              <w:rPr>
                <w:rFonts w:hint="eastAsia" w:ascii="宋体" w:hAnsi="宋体" w:eastAsia="宋体" w:cs="宋体"/>
                <w:b w:val="0"/>
                <w:bCs w:val="0"/>
                <w:i w:val="0"/>
                <w:iCs w:val="0"/>
                <w:color w:val="262626"/>
                <w:kern w:val="0"/>
                <w:sz w:val="21"/>
                <w:szCs w:val="21"/>
                <w:u w:val="none"/>
                <w:lang w:val="en-US" w:eastAsia="zh-CN" w:bidi="ar"/>
              </w:rPr>
              <w:t>电气工程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286,860.54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662,296.34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3.4</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火灾自动报警系统工程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65,600.01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99,236.00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3.5</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弱电智能化工程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194,500.44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251,515.03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3.6</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给排水工程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20,101.75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38,628.34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3.7</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消防喷淋及气体灭火工程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71,253.30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152,944.51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3.8</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通风空调工程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72,238.00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158,133.67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3.9</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冷站工程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606,163.67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3,288,523.39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sz w:val="21"/>
                <w:szCs w:val="21"/>
                <w:u w:val="none"/>
              </w:rPr>
              <w:t>4</w:t>
            </w:r>
            <w:r>
              <w:rPr>
                <w:rFonts w:hint="eastAsia" w:ascii="宋体" w:hAnsi="宋体" w:eastAsia="宋体" w:cs="宋体"/>
                <w:b w:val="0"/>
                <w:bCs w:val="0"/>
                <w:i w:val="0"/>
                <w:iCs w:val="0"/>
                <w:color w:val="000000"/>
                <w:kern w:val="0"/>
                <w:sz w:val="21"/>
                <w:szCs w:val="21"/>
                <w:u w:val="none"/>
                <w:lang w:val="en-US" w:eastAsia="zh-CN" w:bidi="ar"/>
              </w:rPr>
              <w:t>,</w:t>
            </w:r>
            <w:r>
              <w:rPr>
                <w:rFonts w:hint="eastAsia" w:ascii="宋体" w:hAnsi="宋体" w:eastAsia="宋体" w:cs="宋体"/>
                <w:b w:val="0"/>
                <w:bCs w:val="0"/>
                <w:i w:val="0"/>
                <w:iCs w:val="0"/>
                <w:color w:val="000000"/>
                <w:sz w:val="21"/>
                <w:szCs w:val="21"/>
                <w:u w:val="none"/>
              </w:rPr>
              <w:t>587</w:t>
            </w:r>
            <w:r>
              <w:rPr>
                <w:rFonts w:hint="eastAsia" w:ascii="宋体" w:hAnsi="宋体" w:eastAsia="宋体" w:cs="宋体"/>
                <w:b w:val="0"/>
                <w:bCs w:val="0"/>
                <w:i w:val="0"/>
                <w:iCs w:val="0"/>
                <w:color w:val="000000"/>
                <w:kern w:val="0"/>
                <w:sz w:val="21"/>
                <w:szCs w:val="21"/>
                <w:u w:val="none"/>
                <w:lang w:val="en-US" w:eastAsia="zh-CN" w:bidi="ar"/>
              </w:rPr>
              <w:t>,</w:t>
            </w:r>
            <w:r>
              <w:rPr>
                <w:rFonts w:hint="eastAsia" w:ascii="宋体" w:hAnsi="宋体" w:eastAsia="宋体" w:cs="宋体"/>
                <w:b w:val="0"/>
                <w:bCs w:val="0"/>
                <w:i w:val="0"/>
                <w:iCs w:val="0"/>
                <w:color w:val="000000"/>
                <w:sz w:val="21"/>
                <w:szCs w:val="21"/>
                <w:u w:val="none"/>
              </w:rPr>
              <w:t>155.96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冷罐</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834,744.00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3,986,080.96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4.1</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冷罐基础</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648,381.96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1,381,076.14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4.2</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冷罐</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186,362.04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2,605,004.82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室外配套工程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389,915.30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1,000,990.76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5.1</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室外景观和道路工程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142,882.15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403,799.74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5.2</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景观电气工程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21,024.98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27,589.31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5.3</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绿化工程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2,354.05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6,285.50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5.4</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绿化灌溉工程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2,968.88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2,751.55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5.5</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室外机电工程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202,240.87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519,736.00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5.6</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标识工程</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1,089.29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1,365.63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16"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5.7</w:t>
            </w:r>
          </w:p>
        </w:tc>
        <w:tc>
          <w:tcPr>
            <w:tcW w:w="2572"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围墙</w:t>
            </w:r>
          </w:p>
        </w:tc>
        <w:tc>
          <w:tcPr>
            <w:tcW w:w="2655"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17,355.08 </w:t>
            </w:r>
          </w:p>
        </w:tc>
        <w:tc>
          <w:tcPr>
            <w:tcW w:w="1800"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default" w:ascii="宋体" w:hAnsi="宋体" w:eastAsia="宋体" w:cs="宋体"/>
                <w:b w:val="0"/>
                <w:bCs w:val="0"/>
                <w:i w:val="0"/>
                <w:iCs w:val="0"/>
                <w:color w:val="000000"/>
                <w:sz w:val="21"/>
                <w:szCs w:val="21"/>
                <w:u w:val="none"/>
                <w:lang w:val="en-US" w:eastAsia="zh-CN"/>
              </w:rPr>
              <w:t xml:space="preserve">39,463.03 </w:t>
            </w:r>
          </w:p>
        </w:tc>
        <w:tc>
          <w:tcPr>
            <w:tcW w:w="1857" w:type="dxa"/>
            <w:shd w:val="clear" w:color="FFFFFF"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1"/>
                <w:szCs w:val="21"/>
                <w:u w:val="none"/>
                <w:lang w:val="en-US" w:eastAsia="zh-CN" w:bidi="ar"/>
              </w:rPr>
            </w:pP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jc w:val="center"/>
        <w:textAlignment w:val="auto"/>
        <w:outlineLvl w:val="2"/>
        <w:rPr>
          <w:rFonts w:hint="eastAsia" w:ascii="宋体" w:hAnsi="宋体" w:eastAsia="宋体" w:cs="宋体"/>
          <w:color w:val="auto"/>
          <w:sz w:val="21"/>
          <w:szCs w:val="21"/>
          <w:highlight w:val="none"/>
          <w:lang w:val="en-US" w:eastAsia="zh-CN"/>
        </w:rPr>
      </w:pPr>
    </w:p>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i/>
        <w:iCs/>
      </w:rPr>
    </w:pPr>
    <w:r>
      <w:rPr>
        <w:rFonts w:hint="eastAsia"/>
        <w:i/>
        <w:iCs/>
      </w:rPr>
      <w:t>广州白云国际机场三期扩建工程</w:t>
    </w:r>
    <w:r>
      <w:rPr>
        <w:rFonts w:hint="default"/>
        <w:i/>
        <w:iCs/>
      </w:rPr>
      <w:t>配套供冷</w:t>
    </w:r>
    <w:r>
      <w:rPr>
        <w:rFonts w:hint="eastAsia"/>
        <w:i/>
        <w:iCs/>
      </w:rPr>
      <w:t>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3"/>
      <w:lvlText w:val="%1."/>
      <w:legacy w:legacy="1" w:legacySpace="144" w:legacyIndent="0"/>
      <w:lvlJc w:val="left"/>
    </w:lvl>
    <w:lvl w:ilvl="1" w:tentative="0">
      <w:start w:val="1"/>
      <w:numFmt w:val="decimal"/>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abstractNum w:abstractNumId="1">
    <w:nsid w:val="07806638"/>
    <w:multiLevelType w:val="multilevel"/>
    <w:tmpl w:val="07806638"/>
    <w:lvl w:ilvl="0" w:tentative="0">
      <w:start w:val="1"/>
      <w:numFmt w:val="decimal"/>
      <w:suff w:val="nothing"/>
      <w:lvlText w:val="%1."/>
      <w:lvlJc w:val="left"/>
      <w:pPr>
        <w:ind w:left="846" w:hanging="42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5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zNTExMGVmMDlmYThlNTFiZTMwYmYzYjY4NTdhNjEifQ=="/>
  </w:docVars>
  <w:rsids>
    <w:rsidRoot w:val="00B9511C"/>
    <w:rsid w:val="000C4B33"/>
    <w:rsid w:val="001513FB"/>
    <w:rsid w:val="00184A74"/>
    <w:rsid w:val="00193C66"/>
    <w:rsid w:val="0026685B"/>
    <w:rsid w:val="002B5D04"/>
    <w:rsid w:val="002D52CB"/>
    <w:rsid w:val="003A14F0"/>
    <w:rsid w:val="003D1037"/>
    <w:rsid w:val="003E3DDF"/>
    <w:rsid w:val="004277C9"/>
    <w:rsid w:val="0045780C"/>
    <w:rsid w:val="00484A60"/>
    <w:rsid w:val="004E274E"/>
    <w:rsid w:val="004F7BE9"/>
    <w:rsid w:val="00513252"/>
    <w:rsid w:val="005224D9"/>
    <w:rsid w:val="00527E7F"/>
    <w:rsid w:val="005378C7"/>
    <w:rsid w:val="005660A0"/>
    <w:rsid w:val="00585C6D"/>
    <w:rsid w:val="005B548B"/>
    <w:rsid w:val="005D7C67"/>
    <w:rsid w:val="005D7CED"/>
    <w:rsid w:val="00627DAD"/>
    <w:rsid w:val="00716C5E"/>
    <w:rsid w:val="007204C9"/>
    <w:rsid w:val="007242A1"/>
    <w:rsid w:val="007A4764"/>
    <w:rsid w:val="007F7F61"/>
    <w:rsid w:val="00823651"/>
    <w:rsid w:val="008702EB"/>
    <w:rsid w:val="008A1892"/>
    <w:rsid w:val="008B18C3"/>
    <w:rsid w:val="008B316A"/>
    <w:rsid w:val="008D3C42"/>
    <w:rsid w:val="00903512"/>
    <w:rsid w:val="00984477"/>
    <w:rsid w:val="00984E21"/>
    <w:rsid w:val="009928A9"/>
    <w:rsid w:val="00997D67"/>
    <w:rsid w:val="00AA3856"/>
    <w:rsid w:val="00AC2545"/>
    <w:rsid w:val="00B13D3E"/>
    <w:rsid w:val="00B87CFB"/>
    <w:rsid w:val="00B9511C"/>
    <w:rsid w:val="00C32C6E"/>
    <w:rsid w:val="00CC13EF"/>
    <w:rsid w:val="00CE5C6C"/>
    <w:rsid w:val="00D96FC2"/>
    <w:rsid w:val="00DA27F5"/>
    <w:rsid w:val="00DA38F8"/>
    <w:rsid w:val="00DA57F9"/>
    <w:rsid w:val="00E334A5"/>
    <w:rsid w:val="00E57A02"/>
    <w:rsid w:val="00F200D8"/>
    <w:rsid w:val="00F2183B"/>
    <w:rsid w:val="00F402C9"/>
    <w:rsid w:val="00F80F3D"/>
    <w:rsid w:val="00FC3C63"/>
    <w:rsid w:val="01031C1C"/>
    <w:rsid w:val="011E4F1F"/>
    <w:rsid w:val="013637D1"/>
    <w:rsid w:val="013A080E"/>
    <w:rsid w:val="018427DC"/>
    <w:rsid w:val="0192773E"/>
    <w:rsid w:val="01C67676"/>
    <w:rsid w:val="01FE3F51"/>
    <w:rsid w:val="020016E9"/>
    <w:rsid w:val="02072A78"/>
    <w:rsid w:val="020C62E0"/>
    <w:rsid w:val="025D2470"/>
    <w:rsid w:val="027A4F42"/>
    <w:rsid w:val="028A67B7"/>
    <w:rsid w:val="028E7C43"/>
    <w:rsid w:val="029307AF"/>
    <w:rsid w:val="029F455D"/>
    <w:rsid w:val="02C15D5B"/>
    <w:rsid w:val="02D13F89"/>
    <w:rsid w:val="030F2294"/>
    <w:rsid w:val="03453DDC"/>
    <w:rsid w:val="03541CED"/>
    <w:rsid w:val="035B20C7"/>
    <w:rsid w:val="035E7275"/>
    <w:rsid w:val="03692170"/>
    <w:rsid w:val="036E4623"/>
    <w:rsid w:val="0382197C"/>
    <w:rsid w:val="038F4B41"/>
    <w:rsid w:val="03A013D6"/>
    <w:rsid w:val="03FA2051"/>
    <w:rsid w:val="040E2864"/>
    <w:rsid w:val="042B5A6A"/>
    <w:rsid w:val="04376BA4"/>
    <w:rsid w:val="043817A7"/>
    <w:rsid w:val="045C1BEC"/>
    <w:rsid w:val="04966335"/>
    <w:rsid w:val="04B66593"/>
    <w:rsid w:val="04B8381C"/>
    <w:rsid w:val="04C97481"/>
    <w:rsid w:val="04D51447"/>
    <w:rsid w:val="04D8694E"/>
    <w:rsid w:val="04E74BBB"/>
    <w:rsid w:val="04E91AB4"/>
    <w:rsid w:val="05102254"/>
    <w:rsid w:val="051B0BC9"/>
    <w:rsid w:val="052069FF"/>
    <w:rsid w:val="05233EFD"/>
    <w:rsid w:val="05320C94"/>
    <w:rsid w:val="05386AD8"/>
    <w:rsid w:val="05407702"/>
    <w:rsid w:val="055943D7"/>
    <w:rsid w:val="05821D6D"/>
    <w:rsid w:val="05986FCA"/>
    <w:rsid w:val="05B77DDA"/>
    <w:rsid w:val="05D9297D"/>
    <w:rsid w:val="05DD0CA4"/>
    <w:rsid w:val="05FD221B"/>
    <w:rsid w:val="0635436F"/>
    <w:rsid w:val="06661851"/>
    <w:rsid w:val="0667679E"/>
    <w:rsid w:val="068648B3"/>
    <w:rsid w:val="06916CB8"/>
    <w:rsid w:val="06A76C3B"/>
    <w:rsid w:val="06A81AFB"/>
    <w:rsid w:val="06AC59C3"/>
    <w:rsid w:val="06C21663"/>
    <w:rsid w:val="06DC2725"/>
    <w:rsid w:val="070D0B30"/>
    <w:rsid w:val="072C0D9E"/>
    <w:rsid w:val="07577FFE"/>
    <w:rsid w:val="078919BC"/>
    <w:rsid w:val="07A25F88"/>
    <w:rsid w:val="07AE1DDD"/>
    <w:rsid w:val="07C114E1"/>
    <w:rsid w:val="07CB1CD0"/>
    <w:rsid w:val="07D53466"/>
    <w:rsid w:val="07E601F4"/>
    <w:rsid w:val="081E6453"/>
    <w:rsid w:val="08406CE4"/>
    <w:rsid w:val="08872B64"/>
    <w:rsid w:val="088B2485"/>
    <w:rsid w:val="089C4DD4"/>
    <w:rsid w:val="08AE3149"/>
    <w:rsid w:val="08B43BC2"/>
    <w:rsid w:val="08C7517E"/>
    <w:rsid w:val="08E510A5"/>
    <w:rsid w:val="08ED67CB"/>
    <w:rsid w:val="091031EE"/>
    <w:rsid w:val="091A3DF1"/>
    <w:rsid w:val="093076EB"/>
    <w:rsid w:val="09573962"/>
    <w:rsid w:val="095B7DEA"/>
    <w:rsid w:val="09C33BBB"/>
    <w:rsid w:val="09EF6C13"/>
    <w:rsid w:val="09F31EAA"/>
    <w:rsid w:val="09F912A5"/>
    <w:rsid w:val="0A1A50CB"/>
    <w:rsid w:val="0A204958"/>
    <w:rsid w:val="0A237DCF"/>
    <w:rsid w:val="0A2B62D1"/>
    <w:rsid w:val="0A4800D1"/>
    <w:rsid w:val="0A524C06"/>
    <w:rsid w:val="0A7665A4"/>
    <w:rsid w:val="0A945568"/>
    <w:rsid w:val="0AA74DF8"/>
    <w:rsid w:val="0ACC697F"/>
    <w:rsid w:val="0AD578B4"/>
    <w:rsid w:val="0B186C34"/>
    <w:rsid w:val="0B240391"/>
    <w:rsid w:val="0B6F221F"/>
    <w:rsid w:val="0B7021C9"/>
    <w:rsid w:val="0B707453"/>
    <w:rsid w:val="0B927DB0"/>
    <w:rsid w:val="0B994A86"/>
    <w:rsid w:val="0B9C4882"/>
    <w:rsid w:val="0BA366B3"/>
    <w:rsid w:val="0BBC48D3"/>
    <w:rsid w:val="0BCA4623"/>
    <w:rsid w:val="0BCB401B"/>
    <w:rsid w:val="0BF44343"/>
    <w:rsid w:val="0BFD677A"/>
    <w:rsid w:val="0BFF4F9D"/>
    <w:rsid w:val="0C0766DC"/>
    <w:rsid w:val="0C0971A7"/>
    <w:rsid w:val="0C1A784C"/>
    <w:rsid w:val="0C303605"/>
    <w:rsid w:val="0C6672E1"/>
    <w:rsid w:val="0CAB0FE3"/>
    <w:rsid w:val="0CB35CD6"/>
    <w:rsid w:val="0CB729F6"/>
    <w:rsid w:val="0D0B3D64"/>
    <w:rsid w:val="0D152D25"/>
    <w:rsid w:val="0D200769"/>
    <w:rsid w:val="0D2B1F4B"/>
    <w:rsid w:val="0D38468B"/>
    <w:rsid w:val="0D4678BB"/>
    <w:rsid w:val="0D4B53F0"/>
    <w:rsid w:val="0D8B5F0A"/>
    <w:rsid w:val="0DAC63D7"/>
    <w:rsid w:val="0DC325B4"/>
    <w:rsid w:val="0DE10289"/>
    <w:rsid w:val="0DEA5A98"/>
    <w:rsid w:val="0E0D77D4"/>
    <w:rsid w:val="0E0E3492"/>
    <w:rsid w:val="0E550512"/>
    <w:rsid w:val="0E751180"/>
    <w:rsid w:val="0E7B7FC5"/>
    <w:rsid w:val="0EB70036"/>
    <w:rsid w:val="0EB96D0F"/>
    <w:rsid w:val="0EC114B6"/>
    <w:rsid w:val="0ED44126"/>
    <w:rsid w:val="0ED5767A"/>
    <w:rsid w:val="0EE45392"/>
    <w:rsid w:val="0EF67BBB"/>
    <w:rsid w:val="0F026AA1"/>
    <w:rsid w:val="0F2347FF"/>
    <w:rsid w:val="0F267C10"/>
    <w:rsid w:val="0F2804EA"/>
    <w:rsid w:val="0F525276"/>
    <w:rsid w:val="0F631CBA"/>
    <w:rsid w:val="0F657030"/>
    <w:rsid w:val="0F761399"/>
    <w:rsid w:val="0F933BF6"/>
    <w:rsid w:val="0F98698F"/>
    <w:rsid w:val="0F9A13CF"/>
    <w:rsid w:val="0FA662D9"/>
    <w:rsid w:val="0FAC4347"/>
    <w:rsid w:val="0FB96634"/>
    <w:rsid w:val="0FF02D9D"/>
    <w:rsid w:val="100E39DE"/>
    <w:rsid w:val="10107C9B"/>
    <w:rsid w:val="103D7805"/>
    <w:rsid w:val="10867DF2"/>
    <w:rsid w:val="10966303"/>
    <w:rsid w:val="109E7101"/>
    <w:rsid w:val="10A47674"/>
    <w:rsid w:val="10C734B1"/>
    <w:rsid w:val="10D71E7F"/>
    <w:rsid w:val="112C6057"/>
    <w:rsid w:val="11365128"/>
    <w:rsid w:val="11504267"/>
    <w:rsid w:val="115E3690"/>
    <w:rsid w:val="11666B9B"/>
    <w:rsid w:val="117143B2"/>
    <w:rsid w:val="118B451B"/>
    <w:rsid w:val="118D548D"/>
    <w:rsid w:val="11955682"/>
    <w:rsid w:val="11AF737B"/>
    <w:rsid w:val="11D418AF"/>
    <w:rsid w:val="12094E86"/>
    <w:rsid w:val="12151945"/>
    <w:rsid w:val="12230B33"/>
    <w:rsid w:val="12250325"/>
    <w:rsid w:val="125A3098"/>
    <w:rsid w:val="127952CC"/>
    <w:rsid w:val="12A3281E"/>
    <w:rsid w:val="12AA012C"/>
    <w:rsid w:val="12CF313E"/>
    <w:rsid w:val="12D63440"/>
    <w:rsid w:val="130368D8"/>
    <w:rsid w:val="132058E6"/>
    <w:rsid w:val="132632F9"/>
    <w:rsid w:val="132711CC"/>
    <w:rsid w:val="13456BDD"/>
    <w:rsid w:val="13500F65"/>
    <w:rsid w:val="135A1FF5"/>
    <w:rsid w:val="13822DFE"/>
    <w:rsid w:val="138E1503"/>
    <w:rsid w:val="139B3968"/>
    <w:rsid w:val="13BA5B9C"/>
    <w:rsid w:val="13DA40A1"/>
    <w:rsid w:val="13DE4E92"/>
    <w:rsid w:val="13F66433"/>
    <w:rsid w:val="13F95965"/>
    <w:rsid w:val="13FB17DE"/>
    <w:rsid w:val="13FF401E"/>
    <w:rsid w:val="144B1DEA"/>
    <w:rsid w:val="146D1382"/>
    <w:rsid w:val="146E73C1"/>
    <w:rsid w:val="149C7998"/>
    <w:rsid w:val="14BB6424"/>
    <w:rsid w:val="14C75C50"/>
    <w:rsid w:val="14C91523"/>
    <w:rsid w:val="14DA3C44"/>
    <w:rsid w:val="14F1166B"/>
    <w:rsid w:val="150E5CC2"/>
    <w:rsid w:val="151A080B"/>
    <w:rsid w:val="15406463"/>
    <w:rsid w:val="154B5119"/>
    <w:rsid w:val="154C29EF"/>
    <w:rsid w:val="154E1B4E"/>
    <w:rsid w:val="1567793C"/>
    <w:rsid w:val="158A77F0"/>
    <w:rsid w:val="158E0BE6"/>
    <w:rsid w:val="15BF13FD"/>
    <w:rsid w:val="15C21FB9"/>
    <w:rsid w:val="15CF6BB0"/>
    <w:rsid w:val="15D915A4"/>
    <w:rsid w:val="15E62E7C"/>
    <w:rsid w:val="15EB6226"/>
    <w:rsid w:val="16321C77"/>
    <w:rsid w:val="16333219"/>
    <w:rsid w:val="163E4FD8"/>
    <w:rsid w:val="163E7C71"/>
    <w:rsid w:val="163F6D8E"/>
    <w:rsid w:val="16435794"/>
    <w:rsid w:val="16500D37"/>
    <w:rsid w:val="16575DD3"/>
    <w:rsid w:val="165E2053"/>
    <w:rsid w:val="166D72BD"/>
    <w:rsid w:val="16747342"/>
    <w:rsid w:val="16CE70A8"/>
    <w:rsid w:val="16E64EFA"/>
    <w:rsid w:val="16F35E59"/>
    <w:rsid w:val="16F77107"/>
    <w:rsid w:val="16FB5676"/>
    <w:rsid w:val="17206600"/>
    <w:rsid w:val="17225ADC"/>
    <w:rsid w:val="17260A3D"/>
    <w:rsid w:val="17461BF4"/>
    <w:rsid w:val="174640DB"/>
    <w:rsid w:val="1789234B"/>
    <w:rsid w:val="17BB5F40"/>
    <w:rsid w:val="17C4601E"/>
    <w:rsid w:val="17E2079B"/>
    <w:rsid w:val="17E72CD8"/>
    <w:rsid w:val="17F04282"/>
    <w:rsid w:val="180C10A8"/>
    <w:rsid w:val="180E750C"/>
    <w:rsid w:val="185A2BA7"/>
    <w:rsid w:val="187D7061"/>
    <w:rsid w:val="18AC50FA"/>
    <w:rsid w:val="18CB7348"/>
    <w:rsid w:val="18D33378"/>
    <w:rsid w:val="18DF1005"/>
    <w:rsid w:val="18E84F59"/>
    <w:rsid w:val="190E58A7"/>
    <w:rsid w:val="190F6E75"/>
    <w:rsid w:val="191D7F9E"/>
    <w:rsid w:val="192963F6"/>
    <w:rsid w:val="195D1ADE"/>
    <w:rsid w:val="196D5A05"/>
    <w:rsid w:val="19797304"/>
    <w:rsid w:val="198117A8"/>
    <w:rsid w:val="19A1335A"/>
    <w:rsid w:val="19AA6074"/>
    <w:rsid w:val="19C71013"/>
    <w:rsid w:val="19D857FC"/>
    <w:rsid w:val="19E11F44"/>
    <w:rsid w:val="19E90A8E"/>
    <w:rsid w:val="19EE6645"/>
    <w:rsid w:val="19EEF4C9"/>
    <w:rsid w:val="1A3E79A7"/>
    <w:rsid w:val="1A4C51B2"/>
    <w:rsid w:val="1A6564D6"/>
    <w:rsid w:val="1A797632"/>
    <w:rsid w:val="1A7A6085"/>
    <w:rsid w:val="1A7D297D"/>
    <w:rsid w:val="1A8C5DB8"/>
    <w:rsid w:val="1A900724"/>
    <w:rsid w:val="1A934A09"/>
    <w:rsid w:val="1AD50107"/>
    <w:rsid w:val="1AF30EDE"/>
    <w:rsid w:val="1B0342CC"/>
    <w:rsid w:val="1B147937"/>
    <w:rsid w:val="1B2D40E8"/>
    <w:rsid w:val="1B3A39FE"/>
    <w:rsid w:val="1B6C7C62"/>
    <w:rsid w:val="1B7725C5"/>
    <w:rsid w:val="1BA535D6"/>
    <w:rsid w:val="1BC26D50"/>
    <w:rsid w:val="1BDB11A2"/>
    <w:rsid w:val="1BE50366"/>
    <w:rsid w:val="1BF704A8"/>
    <w:rsid w:val="1C0A0066"/>
    <w:rsid w:val="1C194552"/>
    <w:rsid w:val="1C444019"/>
    <w:rsid w:val="1C4941B6"/>
    <w:rsid w:val="1C4C1270"/>
    <w:rsid w:val="1C512E16"/>
    <w:rsid w:val="1C5D0FC7"/>
    <w:rsid w:val="1C9F706D"/>
    <w:rsid w:val="1CBD102D"/>
    <w:rsid w:val="1CBD2262"/>
    <w:rsid w:val="1CCD534E"/>
    <w:rsid w:val="1CD13F56"/>
    <w:rsid w:val="1CE11DED"/>
    <w:rsid w:val="1CED071E"/>
    <w:rsid w:val="1CF06AD2"/>
    <w:rsid w:val="1CFC0FD3"/>
    <w:rsid w:val="1D393463"/>
    <w:rsid w:val="1D6215E1"/>
    <w:rsid w:val="1D6C4284"/>
    <w:rsid w:val="1D6E38A6"/>
    <w:rsid w:val="1D787D18"/>
    <w:rsid w:val="1D7A1E50"/>
    <w:rsid w:val="1D927D41"/>
    <w:rsid w:val="1D980759"/>
    <w:rsid w:val="1D990FDC"/>
    <w:rsid w:val="1D9D1D62"/>
    <w:rsid w:val="1DCB1864"/>
    <w:rsid w:val="1DEA2008"/>
    <w:rsid w:val="1DF6F84D"/>
    <w:rsid w:val="1DF83702"/>
    <w:rsid w:val="1E004446"/>
    <w:rsid w:val="1E1A7B5D"/>
    <w:rsid w:val="1E20313A"/>
    <w:rsid w:val="1E2047F3"/>
    <w:rsid w:val="1E221991"/>
    <w:rsid w:val="1E4824CC"/>
    <w:rsid w:val="1E50544B"/>
    <w:rsid w:val="1E55796B"/>
    <w:rsid w:val="1E8745D1"/>
    <w:rsid w:val="1E9B1504"/>
    <w:rsid w:val="1E9F3B69"/>
    <w:rsid w:val="1EC70525"/>
    <w:rsid w:val="1F046865"/>
    <w:rsid w:val="1F2D555F"/>
    <w:rsid w:val="1F3F0AE3"/>
    <w:rsid w:val="1F4309F8"/>
    <w:rsid w:val="1F481106"/>
    <w:rsid w:val="1F7E26B9"/>
    <w:rsid w:val="1F850839"/>
    <w:rsid w:val="1F8F4381"/>
    <w:rsid w:val="1F9A77C9"/>
    <w:rsid w:val="1FA052FE"/>
    <w:rsid w:val="1FAA2283"/>
    <w:rsid w:val="1FAF461B"/>
    <w:rsid w:val="1FBD4304"/>
    <w:rsid w:val="1FBEA2B4"/>
    <w:rsid w:val="20103217"/>
    <w:rsid w:val="20161F4D"/>
    <w:rsid w:val="201B6FB0"/>
    <w:rsid w:val="20271083"/>
    <w:rsid w:val="20304E03"/>
    <w:rsid w:val="204748C7"/>
    <w:rsid w:val="2051031F"/>
    <w:rsid w:val="20601E11"/>
    <w:rsid w:val="20612199"/>
    <w:rsid w:val="206A387C"/>
    <w:rsid w:val="20711212"/>
    <w:rsid w:val="20816A63"/>
    <w:rsid w:val="20960DC3"/>
    <w:rsid w:val="20A536C4"/>
    <w:rsid w:val="20D30807"/>
    <w:rsid w:val="20EB41A6"/>
    <w:rsid w:val="20FE5EDA"/>
    <w:rsid w:val="213A0C00"/>
    <w:rsid w:val="216276F2"/>
    <w:rsid w:val="21674F02"/>
    <w:rsid w:val="218B6DCA"/>
    <w:rsid w:val="21AA12E7"/>
    <w:rsid w:val="21B93937"/>
    <w:rsid w:val="22133C25"/>
    <w:rsid w:val="22237BE6"/>
    <w:rsid w:val="2235653A"/>
    <w:rsid w:val="225E37E2"/>
    <w:rsid w:val="226A5B67"/>
    <w:rsid w:val="22731412"/>
    <w:rsid w:val="229543C6"/>
    <w:rsid w:val="22996AD6"/>
    <w:rsid w:val="22B460C9"/>
    <w:rsid w:val="22E905DE"/>
    <w:rsid w:val="232349C1"/>
    <w:rsid w:val="23343B79"/>
    <w:rsid w:val="235038CA"/>
    <w:rsid w:val="23520C37"/>
    <w:rsid w:val="235A425B"/>
    <w:rsid w:val="23675615"/>
    <w:rsid w:val="23696C97"/>
    <w:rsid w:val="23765E18"/>
    <w:rsid w:val="23863CED"/>
    <w:rsid w:val="238C6E29"/>
    <w:rsid w:val="23A777BF"/>
    <w:rsid w:val="23AE0B4E"/>
    <w:rsid w:val="23ED1676"/>
    <w:rsid w:val="23F4563E"/>
    <w:rsid w:val="23F6158E"/>
    <w:rsid w:val="23F74124"/>
    <w:rsid w:val="23FC78DA"/>
    <w:rsid w:val="243D3514"/>
    <w:rsid w:val="246D1A2D"/>
    <w:rsid w:val="24836FD1"/>
    <w:rsid w:val="24AC21C6"/>
    <w:rsid w:val="24D71F01"/>
    <w:rsid w:val="24E91894"/>
    <w:rsid w:val="24F20F0E"/>
    <w:rsid w:val="2505316D"/>
    <w:rsid w:val="252E2EA0"/>
    <w:rsid w:val="25362980"/>
    <w:rsid w:val="25365A81"/>
    <w:rsid w:val="25391118"/>
    <w:rsid w:val="25570DEC"/>
    <w:rsid w:val="25662DAC"/>
    <w:rsid w:val="25B518F8"/>
    <w:rsid w:val="25C4149A"/>
    <w:rsid w:val="25D211A0"/>
    <w:rsid w:val="25F435D2"/>
    <w:rsid w:val="26117E8E"/>
    <w:rsid w:val="261E149E"/>
    <w:rsid w:val="26523C4D"/>
    <w:rsid w:val="265C3F8A"/>
    <w:rsid w:val="26710963"/>
    <w:rsid w:val="267D0A75"/>
    <w:rsid w:val="268E37D0"/>
    <w:rsid w:val="26B94D73"/>
    <w:rsid w:val="26C856AB"/>
    <w:rsid w:val="26CB06E8"/>
    <w:rsid w:val="26E03807"/>
    <w:rsid w:val="26E37507"/>
    <w:rsid w:val="26FA5F6D"/>
    <w:rsid w:val="2707319A"/>
    <w:rsid w:val="27184B7A"/>
    <w:rsid w:val="27277595"/>
    <w:rsid w:val="272C0399"/>
    <w:rsid w:val="273E06AB"/>
    <w:rsid w:val="27527BF8"/>
    <w:rsid w:val="27534D41"/>
    <w:rsid w:val="277A3B68"/>
    <w:rsid w:val="27814EF7"/>
    <w:rsid w:val="279C0CF3"/>
    <w:rsid w:val="27A479E7"/>
    <w:rsid w:val="27AD3B56"/>
    <w:rsid w:val="27CE0F6F"/>
    <w:rsid w:val="27DF44A9"/>
    <w:rsid w:val="28273093"/>
    <w:rsid w:val="28355F04"/>
    <w:rsid w:val="283E5715"/>
    <w:rsid w:val="285A5748"/>
    <w:rsid w:val="285E12CD"/>
    <w:rsid w:val="28607787"/>
    <w:rsid w:val="286872A1"/>
    <w:rsid w:val="288910BF"/>
    <w:rsid w:val="289A78F2"/>
    <w:rsid w:val="28DC615D"/>
    <w:rsid w:val="28EA6ACC"/>
    <w:rsid w:val="28FB31A8"/>
    <w:rsid w:val="28FF00B1"/>
    <w:rsid w:val="291D4BD0"/>
    <w:rsid w:val="29241261"/>
    <w:rsid w:val="294462F2"/>
    <w:rsid w:val="295B562D"/>
    <w:rsid w:val="29884E59"/>
    <w:rsid w:val="2994629F"/>
    <w:rsid w:val="29A67B8A"/>
    <w:rsid w:val="29AF55AA"/>
    <w:rsid w:val="29B527B3"/>
    <w:rsid w:val="29C7552F"/>
    <w:rsid w:val="29D41A6D"/>
    <w:rsid w:val="29E02EA2"/>
    <w:rsid w:val="29E66E9B"/>
    <w:rsid w:val="29ED1060"/>
    <w:rsid w:val="2A10297A"/>
    <w:rsid w:val="2A226BAF"/>
    <w:rsid w:val="2A29123E"/>
    <w:rsid w:val="2A3200B0"/>
    <w:rsid w:val="2A383867"/>
    <w:rsid w:val="2A9D055E"/>
    <w:rsid w:val="2AA31CAB"/>
    <w:rsid w:val="2AAE58D7"/>
    <w:rsid w:val="2AB005C7"/>
    <w:rsid w:val="2AC3157C"/>
    <w:rsid w:val="2AC44873"/>
    <w:rsid w:val="2AC507FE"/>
    <w:rsid w:val="2B135C79"/>
    <w:rsid w:val="2B1575E3"/>
    <w:rsid w:val="2B197C49"/>
    <w:rsid w:val="2B3D2C78"/>
    <w:rsid w:val="2B9935D7"/>
    <w:rsid w:val="2BB90842"/>
    <w:rsid w:val="2BE34E53"/>
    <w:rsid w:val="2C1B14CB"/>
    <w:rsid w:val="2C263639"/>
    <w:rsid w:val="2C2830EB"/>
    <w:rsid w:val="2C30560B"/>
    <w:rsid w:val="2C33078A"/>
    <w:rsid w:val="2C494245"/>
    <w:rsid w:val="2C5A1872"/>
    <w:rsid w:val="2C6646BB"/>
    <w:rsid w:val="2C8F4AA5"/>
    <w:rsid w:val="2C984F6D"/>
    <w:rsid w:val="2CAB7CDF"/>
    <w:rsid w:val="2CEA3B3F"/>
    <w:rsid w:val="2CF55B22"/>
    <w:rsid w:val="2CF95111"/>
    <w:rsid w:val="2CF9546F"/>
    <w:rsid w:val="2D170337"/>
    <w:rsid w:val="2D4121B7"/>
    <w:rsid w:val="2D817536"/>
    <w:rsid w:val="2D983E7E"/>
    <w:rsid w:val="2D9D235F"/>
    <w:rsid w:val="2DB50C8A"/>
    <w:rsid w:val="2DB7765E"/>
    <w:rsid w:val="2DB80402"/>
    <w:rsid w:val="2DB85492"/>
    <w:rsid w:val="2E665115"/>
    <w:rsid w:val="2E6D0A16"/>
    <w:rsid w:val="2E71538D"/>
    <w:rsid w:val="2E7248C0"/>
    <w:rsid w:val="2EA0758D"/>
    <w:rsid w:val="2EA71C10"/>
    <w:rsid w:val="2EBA484A"/>
    <w:rsid w:val="2EBD46E5"/>
    <w:rsid w:val="2ECC1AD7"/>
    <w:rsid w:val="2ED44965"/>
    <w:rsid w:val="2EE5148C"/>
    <w:rsid w:val="2EF729BB"/>
    <w:rsid w:val="2F1919F7"/>
    <w:rsid w:val="2F395D80"/>
    <w:rsid w:val="2F505D9A"/>
    <w:rsid w:val="2F5A4E26"/>
    <w:rsid w:val="2F605D0E"/>
    <w:rsid w:val="2F7013AD"/>
    <w:rsid w:val="2F7A7054"/>
    <w:rsid w:val="2F84029D"/>
    <w:rsid w:val="2F8479C3"/>
    <w:rsid w:val="2F932B09"/>
    <w:rsid w:val="2FBD61A2"/>
    <w:rsid w:val="2FFAA329"/>
    <w:rsid w:val="30091E78"/>
    <w:rsid w:val="302208F9"/>
    <w:rsid w:val="305269DE"/>
    <w:rsid w:val="30550AF5"/>
    <w:rsid w:val="305769A1"/>
    <w:rsid w:val="30650A22"/>
    <w:rsid w:val="30721B99"/>
    <w:rsid w:val="30754AA9"/>
    <w:rsid w:val="307A0F29"/>
    <w:rsid w:val="309745F8"/>
    <w:rsid w:val="30C640C8"/>
    <w:rsid w:val="30CB0F91"/>
    <w:rsid w:val="30DA1EAE"/>
    <w:rsid w:val="30DC14B6"/>
    <w:rsid w:val="30E958BB"/>
    <w:rsid w:val="30F922EB"/>
    <w:rsid w:val="310746E0"/>
    <w:rsid w:val="31121581"/>
    <w:rsid w:val="311B6C4B"/>
    <w:rsid w:val="3159659D"/>
    <w:rsid w:val="316B4522"/>
    <w:rsid w:val="31720979"/>
    <w:rsid w:val="31A70DF7"/>
    <w:rsid w:val="31B92B8B"/>
    <w:rsid w:val="31BF50A0"/>
    <w:rsid w:val="31DD7BAF"/>
    <w:rsid w:val="322D4902"/>
    <w:rsid w:val="32344983"/>
    <w:rsid w:val="323E4F73"/>
    <w:rsid w:val="32562ADC"/>
    <w:rsid w:val="325730C6"/>
    <w:rsid w:val="325A6A70"/>
    <w:rsid w:val="325E63C7"/>
    <w:rsid w:val="326E4429"/>
    <w:rsid w:val="327539B4"/>
    <w:rsid w:val="32764F2C"/>
    <w:rsid w:val="32770553"/>
    <w:rsid w:val="327C0AE2"/>
    <w:rsid w:val="32802058"/>
    <w:rsid w:val="32805DAB"/>
    <w:rsid w:val="32985042"/>
    <w:rsid w:val="32C2260C"/>
    <w:rsid w:val="32DA370D"/>
    <w:rsid w:val="32E02BD5"/>
    <w:rsid w:val="32E43999"/>
    <w:rsid w:val="32EB4A9A"/>
    <w:rsid w:val="32EB6F6B"/>
    <w:rsid w:val="32FD3F4C"/>
    <w:rsid w:val="331A7BE5"/>
    <w:rsid w:val="33525999"/>
    <w:rsid w:val="33560102"/>
    <w:rsid w:val="33590AD6"/>
    <w:rsid w:val="3361228C"/>
    <w:rsid w:val="33784CD4"/>
    <w:rsid w:val="33861554"/>
    <w:rsid w:val="33922CA9"/>
    <w:rsid w:val="33AB49D7"/>
    <w:rsid w:val="33BD0A78"/>
    <w:rsid w:val="33C223B3"/>
    <w:rsid w:val="33E84E63"/>
    <w:rsid w:val="33EF98BB"/>
    <w:rsid w:val="341B6844"/>
    <w:rsid w:val="342A5D91"/>
    <w:rsid w:val="34400842"/>
    <w:rsid w:val="34671F2E"/>
    <w:rsid w:val="34684E59"/>
    <w:rsid w:val="346C5601"/>
    <w:rsid w:val="3479238D"/>
    <w:rsid w:val="34972F12"/>
    <w:rsid w:val="349B7EB8"/>
    <w:rsid w:val="34AE2CF2"/>
    <w:rsid w:val="34AE6BFF"/>
    <w:rsid w:val="35006703"/>
    <w:rsid w:val="351A2AF9"/>
    <w:rsid w:val="3532573B"/>
    <w:rsid w:val="35505F08"/>
    <w:rsid w:val="355D23D3"/>
    <w:rsid w:val="35625732"/>
    <w:rsid w:val="356419B4"/>
    <w:rsid w:val="357015B0"/>
    <w:rsid w:val="358A3F0B"/>
    <w:rsid w:val="358F2AEF"/>
    <w:rsid w:val="359E1A84"/>
    <w:rsid w:val="35BF3D8A"/>
    <w:rsid w:val="35C06F27"/>
    <w:rsid w:val="35C4779A"/>
    <w:rsid w:val="35C73812"/>
    <w:rsid w:val="35E36164"/>
    <w:rsid w:val="35ED20DC"/>
    <w:rsid w:val="36192BB7"/>
    <w:rsid w:val="362E54AE"/>
    <w:rsid w:val="363D46DF"/>
    <w:rsid w:val="36486BE0"/>
    <w:rsid w:val="36595BB5"/>
    <w:rsid w:val="366C2FAD"/>
    <w:rsid w:val="368F788A"/>
    <w:rsid w:val="3691408D"/>
    <w:rsid w:val="3699743B"/>
    <w:rsid w:val="36B04FAF"/>
    <w:rsid w:val="36F700C6"/>
    <w:rsid w:val="3706567A"/>
    <w:rsid w:val="37184804"/>
    <w:rsid w:val="372E2279"/>
    <w:rsid w:val="3750027A"/>
    <w:rsid w:val="37502A77"/>
    <w:rsid w:val="375FBF60"/>
    <w:rsid w:val="3772191D"/>
    <w:rsid w:val="377D6A97"/>
    <w:rsid w:val="3790083E"/>
    <w:rsid w:val="37973E5A"/>
    <w:rsid w:val="37B33878"/>
    <w:rsid w:val="37B713CA"/>
    <w:rsid w:val="37D02C9E"/>
    <w:rsid w:val="37EC7E77"/>
    <w:rsid w:val="37F658C6"/>
    <w:rsid w:val="37FE1758"/>
    <w:rsid w:val="38141C21"/>
    <w:rsid w:val="38423425"/>
    <w:rsid w:val="386649DE"/>
    <w:rsid w:val="386D2F89"/>
    <w:rsid w:val="386D66C1"/>
    <w:rsid w:val="38736A58"/>
    <w:rsid w:val="387B0772"/>
    <w:rsid w:val="388B1407"/>
    <w:rsid w:val="38944A7C"/>
    <w:rsid w:val="38C31050"/>
    <w:rsid w:val="38E1635E"/>
    <w:rsid w:val="38F57270"/>
    <w:rsid w:val="38F90ABB"/>
    <w:rsid w:val="391F631E"/>
    <w:rsid w:val="39276F80"/>
    <w:rsid w:val="39463B04"/>
    <w:rsid w:val="397B586C"/>
    <w:rsid w:val="398F43B5"/>
    <w:rsid w:val="39C41D52"/>
    <w:rsid w:val="39D26F6B"/>
    <w:rsid w:val="39DE5BA2"/>
    <w:rsid w:val="39E00378"/>
    <w:rsid w:val="39E23435"/>
    <w:rsid w:val="39E55080"/>
    <w:rsid w:val="3A04610E"/>
    <w:rsid w:val="3A06128C"/>
    <w:rsid w:val="3A0737BA"/>
    <w:rsid w:val="3A35391F"/>
    <w:rsid w:val="3AAF14FA"/>
    <w:rsid w:val="3AB32002"/>
    <w:rsid w:val="3ABD7192"/>
    <w:rsid w:val="3AE1152B"/>
    <w:rsid w:val="3AF958C0"/>
    <w:rsid w:val="3B3543E1"/>
    <w:rsid w:val="3B420484"/>
    <w:rsid w:val="3B66FE99"/>
    <w:rsid w:val="3B762441"/>
    <w:rsid w:val="3B88401D"/>
    <w:rsid w:val="3B8A40BE"/>
    <w:rsid w:val="3BA70A2F"/>
    <w:rsid w:val="3BBD8C89"/>
    <w:rsid w:val="3BCD4482"/>
    <w:rsid w:val="3BDBA413"/>
    <w:rsid w:val="3BEB75DB"/>
    <w:rsid w:val="3BF4C7DF"/>
    <w:rsid w:val="3C0E1A2B"/>
    <w:rsid w:val="3C215F09"/>
    <w:rsid w:val="3C2C4D5E"/>
    <w:rsid w:val="3C3F57E3"/>
    <w:rsid w:val="3C44609B"/>
    <w:rsid w:val="3C4A7A12"/>
    <w:rsid w:val="3C520E93"/>
    <w:rsid w:val="3C67DD8D"/>
    <w:rsid w:val="3C6F28A4"/>
    <w:rsid w:val="3C7B6A2F"/>
    <w:rsid w:val="3C7B6ECA"/>
    <w:rsid w:val="3C8F7316"/>
    <w:rsid w:val="3C922D81"/>
    <w:rsid w:val="3C966C3F"/>
    <w:rsid w:val="3CC03FA6"/>
    <w:rsid w:val="3CCD7F97"/>
    <w:rsid w:val="3CDE7F5A"/>
    <w:rsid w:val="3CE27B73"/>
    <w:rsid w:val="3CFD12F6"/>
    <w:rsid w:val="3D177B23"/>
    <w:rsid w:val="3D2C3485"/>
    <w:rsid w:val="3D552CD9"/>
    <w:rsid w:val="3D5A3DC8"/>
    <w:rsid w:val="3D8A3ABE"/>
    <w:rsid w:val="3D8E5820"/>
    <w:rsid w:val="3DAB38D2"/>
    <w:rsid w:val="3DB41C50"/>
    <w:rsid w:val="3DBB4664"/>
    <w:rsid w:val="3DC70D32"/>
    <w:rsid w:val="3DCE1CA2"/>
    <w:rsid w:val="3DDC027E"/>
    <w:rsid w:val="3DDF607B"/>
    <w:rsid w:val="3DDF85FB"/>
    <w:rsid w:val="3E03340C"/>
    <w:rsid w:val="3E1F291C"/>
    <w:rsid w:val="3E24017F"/>
    <w:rsid w:val="3E374C21"/>
    <w:rsid w:val="3E601236"/>
    <w:rsid w:val="3E615DE4"/>
    <w:rsid w:val="3E7C0A65"/>
    <w:rsid w:val="3EB36B9C"/>
    <w:rsid w:val="3EE70D49"/>
    <w:rsid w:val="3EEF0540"/>
    <w:rsid w:val="3EFC0E22"/>
    <w:rsid w:val="3EFF9F18"/>
    <w:rsid w:val="3F023D64"/>
    <w:rsid w:val="3F1558C2"/>
    <w:rsid w:val="3F1608EE"/>
    <w:rsid w:val="3F2D383B"/>
    <w:rsid w:val="3F3441A5"/>
    <w:rsid w:val="3F8F587D"/>
    <w:rsid w:val="3FF45A9A"/>
    <w:rsid w:val="3FFD4EDF"/>
    <w:rsid w:val="402121C3"/>
    <w:rsid w:val="405A1FA0"/>
    <w:rsid w:val="406B3BF6"/>
    <w:rsid w:val="409C46F8"/>
    <w:rsid w:val="40DE261A"/>
    <w:rsid w:val="40E13EB9"/>
    <w:rsid w:val="4106153C"/>
    <w:rsid w:val="41084A3F"/>
    <w:rsid w:val="4122012B"/>
    <w:rsid w:val="41236C0B"/>
    <w:rsid w:val="412D3023"/>
    <w:rsid w:val="413C37E5"/>
    <w:rsid w:val="4176231E"/>
    <w:rsid w:val="41B82C9E"/>
    <w:rsid w:val="41C419C4"/>
    <w:rsid w:val="41D07BEC"/>
    <w:rsid w:val="41D66ADA"/>
    <w:rsid w:val="41F971E7"/>
    <w:rsid w:val="421F7A8A"/>
    <w:rsid w:val="426119A9"/>
    <w:rsid w:val="42641B71"/>
    <w:rsid w:val="426A7782"/>
    <w:rsid w:val="428D71CF"/>
    <w:rsid w:val="42946983"/>
    <w:rsid w:val="42BD1F2C"/>
    <w:rsid w:val="42C4601A"/>
    <w:rsid w:val="42C8119D"/>
    <w:rsid w:val="42CB381B"/>
    <w:rsid w:val="42EB54C2"/>
    <w:rsid w:val="42F56341"/>
    <w:rsid w:val="42F8375D"/>
    <w:rsid w:val="431D7F78"/>
    <w:rsid w:val="433E1868"/>
    <w:rsid w:val="434C41B3"/>
    <w:rsid w:val="4354430D"/>
    <w:rsid w:val="43790D20"/>
    <w:rsid w:val="438870AF"/>
    <w:rsid w:val="438F6F2B"/>
    <w:rsid w:val="43BD4724"/>
    <w:rsid w:val="43CB61C7"/>
    <w:rsid w:val="43D45F57"/>
    <w:rsid w:val="43E059E8"/>
    <w:rsid w:val="43F7309A"/>
    <w:rsid w:val="44071E88"/>
    <w:rsid w:val="44127C9E"/>
    <w:rsid w:val="442C2699"/>
    <w:rsid w:val="443D2315"/>
    <w:rsid w:val="44981759"/>
    <w:rsid w:val="44A9510B"/>
    <w:rsid w:val="44AA112D"/>
    <w:rsid w:val="44AB4E19"/>
    <w:rsid w:val="44B27A92"/>
    <w:rsid w:val="44B41377"/>
    <w:rsid w:val="44B444D3"/>
    <w:rsid w:val="44B92F23"/>
    <w:rsid w:val="44BC1BA8"/>
    <w:rsid w:val="44C83D0E"/>
    <w:rsid w:val="44E970E5"/>
    <w:rsid w:val="45102204"/>
    <w:rsid w:val="45363A3A"/>
    <w:rsid w:val="45BF3667"/>
    <w:rsid w:val="45D360CF"/>
    <w:rsid w:val="45DE004E"/>
    <w:rsid w:val="45F60B3A"/>
    <w:rsid w:val="46224483"/>
    <w:rsid w:val="46251EA4"/>
    <w:rsid w:val="466148B0"/>
    <w:rsid w:val="4672311A"/>
    <w:rsid w:val="469211D3"/>
    <w:rsid w:val="46B31821"/>
    <w:rsid w:val="46B45763"/>
    <w:rsid w:val="47106C72"/>
    <w:rsid w:val="472E3D89"/>
    <w:rsid w:val="47322C84"/>
    <w:rsid w:val="473A6EC1"/>
    <w:rsid w:val="47501A36"/>
    <w:rsid w:val="4755115C"/>
    <w:rsid w:val="476822F1"/>
    <w:rsid w:val="479A3013"/>
    <w:rsid w:val="47AF5C6C"/>
    <w:rsid w:val="47CE37D0"/>
    <w:rsid w:val="47D74267"/>
    <w:rsid w:val="47E37262"/>
    <w:rsid w:val="47E524E0"/>
    <w:rsid w:val="47E8329F"/>
    <w:rsid w:val="47ED018A"/>
    <w:rsid w:val="47ED3A0E"/>
    <w:rsid w:val="480967B9"/>
    <w:rsid w:val="480E42D2"/>
    <w:rsid w:val="48161405"/>
    <w:rsid w:val="4816723A"/>
    <w:rsid w:val="48234A4F"/>
    <w:rsid w:val="48475276"/>
    <w:rsid w:val="486C2C02"/>
    <w:rsid w:val="48894FF4"/>
    <w:rsid w:val="48B015EF"/>
    <w:rsid w:val="48CE7418"/>
    <w:rsid w:val="48F35A68"/>
    <w:rsid w:val="49251C7A"/>
    <w:rsid w:val="4930182A"/>
    <w:rsid w:val="493046D9"/>
    <w:rsid w:val="49304D27"/>
    <w:rsid w:val="495302FE"/>
    <w:rsid w:val="4968161B"/>
    <w:rsid w:val="499B188A"/>
    <w:rsid w:val="49A068D7"/>
    <w:rsid w:val="49C5283C"/>
    <w:rsid w:val="49EC47D8"/>
    <w:rsid w:val="49EC7066"/>
    <w:rsid w:val="49FA7EC0"/>
    <w:rsid w:val="4A047551"/>
    <w:rsid w:val="4A0B150D"/>
    <w:rsid w:val="4A323A1C"/>
    <w:rsid w:val="4A390080"/>
    <w:rsid w:val="4A3C23B4"/>
    <w:rsid w:val="4A4618F0"/>
    <w:rsid w:val="4A5A1B93"/>
    <w:rsid w:val="4ADD3943"/>
    <w:rsid w:val="4AE02AE7"/>
    <w:rsid w:val="4AE57050"/>
    <w:rsid w:val="4AEF1162"/>
    <w:rsid w:val="4AF64A04"/>
    <w:rsid w:val="4AFB588F"/>
    <w:rsid w:val="4B215F23"/>
    <w:rsid w:val="4B25001A"/>
    <w:rsid w:val="4B2D2BE6"/>
    <w:rsid w:val="4B2D5EA8"/>
    <w:rsid w:val="4B7D48FD"/>
    <w:rsid w:val="4B8B4F59"/>
    <w:rsid w:val="4B8D0681"/>
    <w:rsid w:val="4BCA0873"/>
    <w:rsid w:val="4BCD35DC"/>
    <w:rsid w:val="4BDF0E05"/>
    <w:rsid w:val="4BEA1393"/>
    <w:rsid w:val="4C1A3999"/>
    <w:rsid w:val="4C2B4DB0"/>
    <w:rsid w:val="4C2E2149"/>
    <w:rsid w:val="4C6E29BB"/>
    <w:rsid w:val="4C7161F0"/>
    <w:rsid w:val="4C9743B6"/>
    <w:rsid w:val="4CC80132"/>
    <w:rsid w:val="4CD94AD2"/>
    <w:rsid w:val="4CDC19B8"/>
    <w:rsid w:val="4CE3251B"/>
    <w:rsid w:val="4CE444B6"/>
    <w:rsid w:val="4CFA395C"/>
    <w:rsid w:val="4D18035C"/>
    <w:rsid w:val="4D4600D8"/>
    <w:rsid w:val="4D4A758E"/>
    <w:rsid w:val="4D50479E"/>
    <w:rsid w:val="4D551DB4"/>
    <w:rsid w:val="4D5C470F"/>
    <w:rsid w:val="4DA222EA"/>
    <w:rsid w:val="4DAB1AD6"/>
    <w:rsid w:val="4DDC4DF6"/>
    <w:rsid w:val="4DEE498F"/>
    <w:rsid w:val="4E0F6950"/>
    <w:rsid w:val="4E461191"/>
    <w:rsid w:val="4E705DCA"/>
    <w:rsid w:val="4E727B56"/>
    <w:rsid w:val="4EB30C3A"/>
    <w:rsid w:val="4ED67027"/>
    <w:rsid w:val="4EE769A4"/>
    <w:rsid w:val="4F013AB2"/>
    <w:rsid w:val="4F1A0F75"/>
    <w:rsid w:val="4F4C3399"/>
    <w:rsid w:val="4F505AAF"/>
    <w:rsid w:val="4F566000"/>
    <w:rsid w:val="4F5F6F20"/>
    <w:rsid w:val="4F6D560D"/>
    <w:rsid w:val="4F7B62BA"/>
    <w:rsid w:val="4F7F2792"/>
    <w:rsid w:val="4FB053B6"/>
    <w:rsid w:val="4FB07F85"/>
    <w:rsid w:val="4FD02EC1"/>
    <w:rsid w:val="4FD64808"/>
    <w:rsid w:val="4FDC6307"/>
    <w:rsid w:val="4FE32F95"/>
    <w:rsid w:val="4FE338DA"/>
    <w:rsid w:val="4FE97B59"/>
    <w:rsid w:val="4FF00C36"/>
    <w:rsid w:val="4FF65ECF"/>
    <w:rsid w:val="5001721D"/>
    <w:rsid w:val="501C0A75"/>
    <w:rsid w:val="5084192B"/>
    <w:rsid w:val="50914C61"/>
    <w:rsid w:val="50A6730D"/>
    <w:rsid w:val="50AF3667"/>
    <w:rsid w:val="50C66923"/>
    <w:rsid w:val="50DA6E4B"/>
    <w:rsid w:val="50E479E0"/>
    <w:rsid w:val="50EF34FD"/>
    <w:rsid w:val="5100038B"/>
    <w:rsid w:val="51140057"/>
    <w:rsid w:val="51225778"/>
    <w:rsid w:val="51273B6A"/>
    <w:rsid w:val="512C6A81"/>
    <w:rsid w:val="5153730C"/>
    <w:rsid w:val="518976D2"/>
    <w:rsid w:val="51976CD3"/>
    <w:rsid w:val="519B6066"/>
    <w:rsid w:val="51B15B29"/>
    <w:rsid w:val="51C476DD"/>
    <w:rsid w:val="51E64DE7"/>
    <w:rsid w:val="51F61456"/>
    <w:rsid w:val="521F23B3"/>
    <w:rsid w:val="522E39CA"/>
    <w:rsid w:val="523C3645"/>
    <w:rsid w:val="5266383D"/>
    <w:rsid w:val="52825DB2"/>
    <w:rsid w:val="52952D55"/>
    <w:rsid w:val="529C40E3"/>
    <w:rsid w:val="52AF2B57"/>
    <w:rsid w:val="52C13312"/>
    <w:rsid w:val="52DF780A"/>
    <w:rsid w:val="52E22421"/>
    <w:rsid w:val="52EC1416"/>
    <w:rsid w:val="52F410A8"/>
    <w:rsid w:val="531351F7"/>
    <w:rsid w:val="532E1FE6"/>
    <w:rsid w:val="533D688F"/>
    <w:rsid w:val="537C2E7E"/>
    <w:rsid w:val="5381551F"/>
    <w:rsid w:val="53913A44"/>
    <w:rsid w:val="5395134A"/>
    <w:rsid w:val="53B84F4D"/>
    <w:rsid w:val="53C3157B"/>
    <w:rsid w:val="53C909CA"/>
    <w:rsid w:val="53E556EE"/>
    <w:rsid w:val="53F10DC5"/>
    <w:rsid w:val="53FF440B"/>
    <w:rsid w:val="54085ED4"/>
    <w:rsid w:val="543478D1"/>
    <w:rsid w:val="545309D2"/>
    <w:rsid w:val="54612146"/>
    <w:rsid w:val="547846DC"/>
    <w:rsid w:val="548D0188"/>
    <w:rsid w:val="549A4653"/>
    <w:rsid w:val="549C6689"/>
    <w:rsid w:val="549F7F1C"/>
    <w:rsid w:val="54AE49FC"/>
    <w:rsid w:val="54B60B9E"/>
    <w:rsid w:val="54B85A54"/>
    <w:rsid w:val="54BC5B15"/>
    <w:rsid w:val="54CC295A"/>
    <w:rsid w:val="54EC6A5F"/>
    <w:rsid w:val="54F75836"/>
    <w:rsid w:val="550C799B"/>
    <w:rsid w:val="55115E79"/>
    <w:rsid w:val="55287EB0"/>
    <w:rsid w:val="55434677"/>
    <w:rsid w:val="55656E66"/>
    <w:rsid w:val="5577167F"/>
    <w:rsid w:val="55AA3F7D"/>
    <w:rsid w:val="55D3031E"/>
    <w:rsid w:val="55E94461"/>
    <w:rsid w:val="55F52F47"/>
    <w:rsid w:val="55F57BAE"/>
    <w:rsid w:val="560C5489"/>
    <w:rsid w:val="560D1867"/>
    <w:rsid w:val="56324B78"/>
    <w:rsid w:val="563A7E9B"/>
    <w:rsid w:val="564B654C"/>
    <w:rsid w:val="566B09FA"/>
    <w:rsid w:val="56885586"/>
    <w:rsid w:val="5697709C"/>
    <w:rsid w:val="569A2B36"/>
    <w:rsid w:val="56AF0889"/>
    <w:rsid w:val="56B126DD"/>
    <w:rsid w:val="56DA628A"/>
    <w:rsid w:val="56EB3E63"/>
    <w:rsid w:val="56EE2D2C"/>
    <w:rsid w:val="56EF4625"/>
    <w:rsid w:val="56F269C8"/>
    <w:rsid w:val="5700678B"/>
    <w:rsid w:val="57213C87"/>
    <w:rsid w:val="57545F54"/>
    <w:rsid w:val="57A624DB"/>
    <w:rsid w:val="57AE4348"/>
    <w:rsid w:val="57D1482F"/>
    <w:rsid w:val="57D24D23"/>
    <w:rsid w:val="57E175D7"/>
    <w:rsid w:val="57EE4CC3"/>
    <w:rsid w:val="57EF38A0"/>
    <w:rsid w:val="58064CF4"/>
    <w:rsid w:val="58113055"/>
    <w:rsid w:val="581705EF"/>
    <w:rsid w:val="5822405A"/>
    <w:rsid w:val="58350137"/>
    <w:rsid w:val="58501BF8"/>
    <w:rsid w:val="587727F2"/>
    <w:rsid w:val="58913FBE"/>
    <w:rsid w:val="58DA3BB7"/>
    <w:rsid w:val="58E66830"/>
    <w:rsid w:val="58E92BFB"/>
    <w:rsid w:val="59034EBC"/>
    <w:rsid w:val="593A3D77"/>
    <w:rsid w:val="59643735"/>
    <w:rsid w:val="597204CD"/>
    <w:rsid w:val="597C66D3"/>
    <w:rsid w:val="598D29D8"/>
    <w:rsid w:val="59972C8B"/>
    <w:rsid w:val="59BD09F0"/>
    <w:rsid w:val="59D03107"/>
    <w:rsid w:val="59D223DF"/>
    <w:rsid w:val="59D81CCC"/>
    <w:rsid w:val="59E8782F"/>
    <w:rsid w:val="5A0341DB"/>
    <w:rsid w:val="5A1C750B"/>
    <w:rsid w:val="5A3046DB"/>
    <w:rsid w:val="5A3A6A30"/>
    <w:rsid w:val="5A3E3CD2"/>
    <w:rsid w:val="5A51171B"/>
    <w:rsid w:val="5A535100"/>
    <w:rsid w:val="5A5C2CF4"/>
    <w:rsid w:val="5A6B69C0"/>
    <w:rsid w:val="5A6C0AF7"/>
    <w:rsid w:val="5A7B6CD4"/>
    <w:rsid w:val="5A8C70A5"/>
    <w:rsid w:val="5A8E2815"/>
    <w:rsid w:val="5A991F56"/>
    <w:rsid w:val="5A9A014C"/>
    <w:rsid w:val="5AAD3975"/>
    <w:rsid w:val="5AC87DD5"/>
    <w:rsid w:val="5AEA1BB4"/>
    <w:rsid w:val="5AF522F2"/>
    <w:rsid w:val="5AFF25E0"/>
    <w:rsid w:val="5B13570C"/>
    <w:rsid w:val="5B1C2265"/>
    <w:rsid w:val="5B6463C7"/>
    <w:rsid w:val="5B6B6D49"/>
    <w:rsid w:val="5B7106FF"/>
    <w:rsid w:val="5BAD5674"/>
    <w:rsid w:val="5BB42718"/>
    <w:rsid w:val="5BBE331C"/>
    <w:rsid w:val="5BC64D2B"/>
    <w:rsid w:val="5C1218E5"/>
    <w:rsid w:val="5C301E06"/>
    <w:rsid w:val="5C313AEE"/>
    <w:rsid w:val="5C554C52"/>
    <w:rsid w:val="5C63523E"/>
    <w:rsid w:val="5CB4315F"/>
    <w:rsid w:val="5CCD4D38"/>
    <w:rsid w:val="5D015447"/>
    <w:rsid w:val="5D032927"/>
    <w:rsid w:val="5D094A6B"/>
    <w:rsid w:val="5D155E03"/>
    <w:rsid w:val="5D2A7845"/>
    <w:rsid w:val="5D8A2CB0"/>
    <w:rsid w:val="5D980C1C"/>
    <w:rsid w:val="5D9B3795"/>
    <w:rsid w:val="5DCF0D76"/>
    <w:rsid w:val="5E18345C"/>
    <w:rsid w:val="5E232E56"/>
    <w:rsid w:val="5E2B1E45"/>
    <w:rsid w:val="5E317890"/>
    <w:rsid w:val="5E336B8B"/>
    <w:rsid w:val="5E472631"/>
    <w:rsid w:val="5E7C4328"/>
    <w:rsid w:val="5E8343A9"/>
    <w:rsid w:val="5EA960E8"/>
    <w:rsid w:val="5EC65392"/>
    <w:rsid w:val="5EDA046D"/>
    <w:rsid w:val="5EFB7BC5"/>
    <w:rsid w:val="5EFC04E3"/>
    <w:rsid w:val="5EFF2840"/>
    <w:rsid w:val="5F0B7029"/>
    <w:rsid w:val="5F2402B1"/>
    <w:rsid w:val="5F610C29"/>
    <w:rsid w:val="5F743F2F"/>
    <w:rsid w:val="5FAD4A84"/>
    <w:rsid w:val="5FC84D97"/>
    <w:rsid w:val="5FDFE410"/>
    <w:rsid w:val="5FE00931"/>
    <w:rsid w:val="5FE01AB3"/>
    <w:rsid w:val="5FE7460D"/>
    <w:rsid w:val="5FE97DAA"/>
    <w:rsid w:val="5FEB66AA"/>
    <w:rsid w:val="5FF217E7"/>
    <w:rsid w:val="603433BD"/>
    <w:rsid w:val="60350F28"/>
    <w:rsid w:val="604A3672"/>
    <w:rsid w:val="60565291"/>
    <w:rsid w:val="60850903"/>
    <w:rsid w:val="60A8479B"/>
    <w:rsid w:val="60AF3D9F"/>
    <w:rsid w:val="60DE56BB"/>
    <w:rsid w:val="60E6759D"/>
    <w:rsid w:val="60F22BA1"/>
    <w:rsid w:val="60FB7DAB"/>
    <w:rsid w:val="61055308"/>
    <w:rsid w:val="610B6170"/>
    <w:rsid w:val="61391FB4"/>
    <w:rsid w:val="61433C21"/>
    <w:rsid w:val="614A40EA"/>
    <w:rsid w:val="61555581"/>
    <w:rsid w:val="616768DD"/>
    <w:rsid w:val="616E53A2"/>
    <w:rsid w:val="61880654"/>
    <w:rsid w:val="61A624C4"/>
    <w:rsid w:val="61B34EBD"/>
    <w:rsid w:val="61DD4800"/>
    <w:rsid w:val="621028EA"/>
    <w:rsid w:val="623C6109"/>
    <w:rsid w:val="624B464C"/>
    <w:rsid w:val="62600F0F"/>
    <w:rsid w:val="62610F56"/>
    <w:rsid w:val="62BC7D02"/>
    <w:rsid w:val="62C32E18"/>
    <w:rsid w:val="62F81FED"/>
    <w:rsid w:val="6301344D"/>
    <w:rsid w:val="6312641A"/>
    <w:rsid w:val="63362299"/>
    <w:rsid w:val="633D5970"/>
    <w:rsid w:val="63512CC8"/>
    <w:rsid w:val="63513002"/>
    <w:rsid w:val="638210D3"/>
    <w:rsid w:val="63822E81"/>
    <w:rsid w:val="63860E8D"/>
    <w:rsid w:val="63924AD6"/>
    <w:rsid w:val="63AA6E92"/>
    <w:rsid w:val="63B2651C"/>
    <w:rsid w:val="63D92960"/>
    <w:rsid w:val="63DA4095"/>
    <w:rsid w:val="6417108D"/>
    <w:rsid w:val="641B5E1B"/>
    <w:rsid w:val="645E38EF"/>
    <w:rsid w:val="6463123F"/>
    <w:rsid w:val="64831EB6"/>
    <w:rsid w:val="64B75D94"/>
    <w:rsid w:val="64C024DC"/>
    <w:rsid w:val="64C85A75"/>
    <w:rsid w:val="64D176CB"/>
    <w:rsid w:val="64D95F27"/>
    <w:rsid w:val="64FE7903"/>
    <w:rsid w:val="651129BB"/>
    <w:rsid w:val="65222B6E"/>
    <w:rsid w:val="653943C2"/>
    <w:rsid w:val="656815B9"/>
    <w:rsid w:val="65794512"/>
    <w:rsid w:val="65952CA6"/>
    <w:rsid w:val="65C23A09"/>
    <w:rsid w:val="65DD748A"/>
    <w:rsid w:val="65E068A7"/>
    <w:rsid w:val="662118C9"/>
    <w:rsid w:val="664A6540"/>
    <w:rsid w:val="665761F7"/>
    <w:rsid w:val="667C6015"/>
    <w:rsid w:val="66CE3F70"/>
    <w:rsid w:val="66F548E4"/>
    <w:rsid w:val="67065A02"/>
    <w:rsid w:val="670D0CB5"/>
    <w:rsid w:val="673A3676"/>
    <w:rsid w:val="67406157"/>
    <w:rsid w:val="674C6704"/>
    <w:rsid w:val="67560396"/>
    <w:rsid w:val="675A50FC"/>
    <w:rsid w:val="67650AF0"/>
    <w:rsid w:val="67807583"/>
    <w:rsid w:val="6798119F"/>
    <w:rsid w:val="67B00FA4"/>
    <w:rsid w:val="67BE94BC"/>
    <w:rsid w:val="67F74F4F"/>
    <w:rsid w:val="68190258"/>
    <w:rsid w:val="681C6DDC"/>
    <w:rsid w:val="682265E2"/>
    <w:rsid w:val="683E4D93"/>
    <w:rsid w:val="68437E5B"/>
    <w:rsid w:val="68486DD8"/>
    <w:rsid w:val="68685845"/>
    <w:rsid w:val="687023AD"/>
    <w:rsid w:val="68813E00"/>
    <w:rsid w:val="68AA5354"/>
    <w:rsid w:val="68AB6CFB"/>
    <w:rsid w:val="68C74FE5"/>
    <w:rsid w:val="68D47AF5"/>
    <w:rsid w:val="691704B0"/>
    <w:rsid w:val="691B0000"/>
    <w:rsid w:val="69205385"/>
    <w:rsid w:val="692F7608"/>
    <w:rsid w:val="693C4541"/>
    <w:rsid w:val="694A2840"/>
    <w:rsid w:val="696B7AE0"/>
    <w:rsid w:val="69842EAC"/>
    <w:rsid w:val="698D62EB"/>
    <w:rsid w:val="69BA223C"/>
    <w:rsid w:val="6A0119C3"/>
    <w:rsid w:val="6A2F5D91"/>
    <w:rsid w:val="6A3020ED"/>
    <w:rsid w:val="6A36358B"/>
    <w:rsid w:val="6A7C0301"/>
    <w:rsid w:val="6AC517EB"/>
    <w:rsid w:val="6AC935C4"/>
    <w:rsid w:val="6AE130E3"/>
    <w:rsid w:val="6AEA1A38"/>
    <w:rsid w:val="6AF2121F"/>
    <w:rsid w:val="6B584291"/>
    <w:rsid w:val="6B63611A"/>
    <w:rsid w:val="6B894E15"/>
    <w:rsid w:val="6BA916AA"/>
    <w:rsid w:val="6BB855A0"/>
    <w:rsid w:val="6BE96E14"/>
    <w:rsid w:val="6BF78CB9"/>
    <w:rsid w:val="6C104DCF"/>
    <w:rsid w:val="6C1B596B"/>
    <w:rsid w:val="6C2F77DB"/>
    <w:rsid w:val="6C303DC2"/>
    <w:rsid w:val="6C643878"/>
    <w:rsid w:val="6C757D03"/>
    <w:rsid w:val="6C7D608C"/>
    <w:rsid w:val="6CA50599"/>
    <w:rsid w:val="6CB82BA5"/>
    <w:rsid w:val="6CC85CB8"/>
    <w:rsid w:val="6CD56718"/>
    <w:rsid w:val="6CF43042"/>
    <w:rsid w:val="6D060AF2"/>
    <w:rsid w:val="6D23209D"/>
    <w:rsid w:val="6D3336FD"/>
    <w:rsid w:val="6D353DDB"/>
    <w:rsid w:val="6D430295"/>
    <w:rsid w:val="6D507DB5"/>
    <w:rsid w:val="6D513FF0"/>
    <w:rsid w:val="6D584E5E"/>
    <w:rsid w:val="6D5E78A1"/>
    <w:rsid w:val="6D6C7F13"/>
    <w:rsid w:val="6D725D15"/>
    <w:rsid w:val="6D804EE1"/>
    <w:rsid w:val="6D811639"/>
    <w:rsid w:val="6D9C04C0"/>
    <w:rsid w:val="6DAA3701"/>
    <w:rsid w:val="6DCD1BED"/>
    <w:rsid w:val="6E033B42"/>
    <w:rsid w:val="6E3B4622"/>
    <w:rsid w:val="6E505F87"/>
    <w:rsid w:val="6E6A33E9"/>
    <w:rsid w:val="6E74440E"/>
    <w:rsid w:val="6E847214"/>
    <w:rsid w:val="6E8E565B"/>
    <w:rsid w:val="6E9D1986"/>
    <w:rsid w:val="6EC46E52"/>
    <w:rsid w:val="6EE9679B"/>
    <w:rsid w:val="6F086931"/>
    <w:rsid w:val="6F171269"/>
    <w:rsid w:val="6F174CC1"/>
    <w:rsid w:val="6F1F59F6"/>
    <w:rsid w:val="6F3E67F6"/>
    <w:rsid w:val="6F561763"/>
    <w:rsid w:val="6F593630"/>
    <w:rsid w:val="6F8D30D8"/>
    <w:rsid w:val="6F913909"/>
    <w:rsid w:val="6F987120"/>
    <w:rsid w:val="6FC6645F"/>
    <w:rsid w:val="6FDB6707"/>
    <w:rsid w:val="6FDC3362"/>
    <w:rsid w:val="6FEF2BB1"/>
    <w:rsid w:val="702A6D7B"/>
    <w:rsid w:val="702B0E22"/>
    <w:rsid w:val="704503CB"/>
    <w:rsid w:val="704B4560"/>
    <w:rsid w:val="70697B15"/>
    <w:rsid w:val="707149AA"/>
    <w:rsid w:val="70817105"/>
    <w:rsid w:val="70951EB1"/>
    <w:rsid w:val="709C35CE"/>
    <w:rsid w:val="70A128B3"/>
    <w:rsid w:val="70A1703D"/>
    <w:rsid w:val="70B30B1E"/>
    <w:rsid w:val="70D728BC"/>
    <w:rsid w:val="710F044A"/>
    <w:rsid w:val="7125212D"/>
    <w:rsid w:val="71286954"/>
    <w:rsid w:val="71297032"/>
    <w:rsid w:val="71404FF0"/>
    <w:rsid w:val="71453614"/>
    <w:rsid w:val="7150636D"/>
    <w:rsid w:val="71573D01"/>
    <w:rsid w:val="71592386"/>
    <w:rsid w:val="715952EE"/>
    <w:rsid w:val="71872B6B"/>
    <w:rsid w:val="71882F2E"/>
    <w:rsid w:val="718B10FA"/>
    <w:rsid w:val="71C33125"/>
    <w:rsid w:val="71C411E8"/>
    <w:rsid w:val="71E847F7"/>
    <w:rsid w:val="720979F9"/>
    <w:rsid w:val="720B620B"/>
    <w:rsid w:val="721E46BD"/>
    <w:rsid w:val="72216C4D"/>
    <w:rsid w:val="722851A2"/>
    <w:rsid w:val="724F2AC9"/>
    <w:rsid w:val="727D7636"/>
    <w:rsid w:val="72AB41A3"/>
    <w:rsid w:val="72CA35A0"/>
    <w:rsid w:val="72CF1364"/>
    <w:rsid w:val="72D16002"/>
    <w:rsid w:val="72EB0A43"/>
    <w:rsid w:val="73315A60"/>
    <w:rsid w:val="7362505B"/>
    <w:rsid w:val="73DB6265"/>
    <w:rsid w:val="73DF2D98"/>
    <w:rsid w:val="73F109E5"/>
    <w:rsid w:val="744F3F1F"/>
    <w:rsid w:val="74684F3B"/>
    <w:rsid w:val="74687E72"/>
    <w:rsid w:val="746B2FD5"/>
    <w:rsid w:val="7476304A"/>
    <w:rsid w:val="74A213EB"/>
    <w:rsid w:val="74A23AD9"/>
    <w:rsid w:val="74D83951"/>
    <w:rsid w:val="74E5396C"/>
    <w:rsid w:val="750E0AAE"/>
    <w:rsid w:val="751207AB"/>
    <w:rsid w:val="7559153E"/>
    <w:rsid w:val="756B1122"/>
    <w:rsid w:val="75775309"/>
    <w:rsid w:val="759323CD"/>
    <w:rsid w:val="759A5F7F"/>
    <w:rsid w:val="75D528E1"/>
    <w:rsid w:val="75E64D79"/>
    <w:rsid w:val="75F07B9E"/>
    <w:rsid w:val="7614229E"/>
    <w:rsid w:val="76494F61"/>
    <w:rsid w:val="766C1E28"/>
    <w:rsid w:val="76726CA6"/>
    <w:rsid w:val="769D02A6"/>
    <w:rsid w:val="76B807A0"/>
    <w:rsid w:val="76E67512"/>
    <w:rsid w:val="76FE6B16"/>
    <w:rsid w:val="775B32C9"/>
    <w:rsid w:val="776377C3"/>
    <w:rsid w:val="77756362"/>
    <w:rsid w:val="777FE730"/>
    <w:rsid w:val="779C7DF7"/>
    <w:rsid w:val="77A43A56"/>
    <w:rsid w:val="77A92C7B"/>
    <w:rsid w:val="77AF2011"/>
    <w:rsid w:val="77B5517C"/>
    <w:rsid w:val="77D92540"/>
    <w:rsid w:val="77DA0236"/>
    <w:rsid w:val="77E522C1"/>
    <w:rsid w:val="77ED69DD"/>
    <w:rsid w:val="77F90F61"/>
    <w:rsid w:val="78014865"/>
    <w:rsid w:val="781F42B3"/>
    <w:rsid w:val="783C5064"/>
    <w:rsid w:val="7843495B"/>
    <w:rsid w:val="78630991"/>
    <w:rsid w:val="786D633C"/>
    <w:rsid w:val="78804A5A"/>
    <w:rsid w:val="788A279B"/>
    <w:rsid w:val="789C5E02"/>
    <w:rsid w:val="789C6986"/>
    <w:rsid w:val="78A53107"/>
    <w:rsid w:val="78CA7293"/>
    <w:rsid w:val="78E25D97"/>
    <w:rsid w:val="78F86E75"/>
    <w:rsid w:val="78FF76F5"/>
    <w:rsid w:val="79027C98"/>
    <w:rsid w:val="790B5CF7"/>
    <w:rsid w:val="79132D7C"/>
    <w:rsid w:val="795409C4"/>
    <w:rsid w:val="795645C4"/>
    <w:rsid w:val="79802062"/>
    <w:rsid w:val="79AF2BB1"/>
    <w:rsid w:val="79B96193"/>
    <w:rsid w:val="79E17BAC"/>
    <w:rsid w:val="79E97308"/>
    <w:rsid w:val="79F6E8B2"/>
    <w:rsid w:val="7A1A2231"/>
    <w:rsid w:val="7A460C55"/>
    <w:rsid w:val="7A580FFD"/>
    <w:rsid w:val="7A71598F"/>
    <w:rsid w:val="7A936BBE"/>
    <w:rsid w:val="7AAD5595"/>
    <w:rsid w:val="7AAF5FD7"/>
    <w:rsid w:val="7AB21E46"/>
    <w:rsid w:val="7AE86416"/>
    <w:rsid w:val="7AF52FBD"/>
    <w:rsid w:val="7AFA0F30"/>
    <w:rsid w:val="7B101CDA"/>
    <w:rsid w:val="7B244F03"/>
    <w:rsid w:val="7B2D0269"/>
    <w:rsid w:val="7B3D0965"/>
    <w:rsid w:val="7B3E1AC5"/>
    <w:rsid w:val="7B3F14E6"/>
    <w:rsid w:val="7B521A35"/>
    <w:rsid w:val="7B564EC8"/>
    <w:rsid w:val="7B830A97"/>
    <w:rsid w:val="7B8900AD"/>
    <w:rsid w:val="7BE343FF"/>
    <w:rsid w:val="7BE53CE6"/>
    <w:rsid w:val="7BF9515D"/>
    <w:rsid w:val="7C126419"/>
    <w:rsid w:val="7C132E51"/>
    <w:rsid w:val="7C2F09E5"/>
    <w:rsid w:val="7C330E98"/>
    <w:rsid w:val="7C4D0079"/>
    <w:rsid w:val="7C516DA3"/>
    <w:rsid w:val="7C523627"/>
    <w:rsid w:val="7C567E41"/>
    <w:rsid w:val="7C9B6CDE"/>
    <w:rsid w:val="7CB55896"/>
    <w:rsid w:val="7CC965BB"/>
    <w:rsid w:val="7CFD3C4F"/>
    <w:rsid w:val="7D0074D8"/>
    <w:rsid w:val="7D100648"/>
    <w:rsid w:val="7D1652C0"/>
    <w:rsid w:val="7D242972"/>
    <w:rsid w:val="7D4B47DB"/>
    <w:rsid w:val="7D536120"/>
    <w:rsid w:val="7D5B21A0"/>
    <w:rsid w:val="7D5D23BD"/>
    <w:rsid w:val="7D6E721F"/>
    <w:rsid w:val="7D7E01AB"/>
    <w:rsid w:val="7DA57A41"/>
    <w:rsid w:val="7DA90593"/>
    <w:rsid w:val="7DAB08DE"/>
    <w:rsid w:val="7DBE064F"/>
    <w:rsid w:val="7DBE6FDF"/>
    <w:rsid w:val="7DDD095E"/>
    <w:rsid w:val="7DE14013"/>
    <w:rsid w:val="7E1D0127"/>
    <w:rsid w:val="7E2B626A"/>
    <w:rsid w:val="7E32537E"/>
    <w:rsid w:val="7E3E1001"/>
    <w:rsid w:val="7E4543B7"/>
    <w:rsid w:val="7E590F57"/>
    <w:rsid w:val="7E6A1687"/>
    <w:rsid w:val="7E715FD1"/>
    <w:rsid w:val="7EA21BD3"/>
    <w:rsid w:val="7EA3332A"/>
    <w:rsid w:val="7ECA57CE"/>
    <w:rsid w:val="7ECD36FC"/>
    <w:rsid w:val="7EDD3C39"/>
    <w:rsid w:val="7EF770CE"/>
    <w:rsid w:val="7EFA225C"/>
    <w:rsid w:val="7EFF338C"/>
    <w:rsid w:val="7F531E4A"/>
    <w:rsid w:val="7F8D0BFF"/>
    <w:rsid w:val="7F952C72"/>
    <w:rsid w:val="7FA15385"/>
    <w:rsid w:val="7FCD0EBD"/>
    <w:rsid w:val="7FD63C4E"/>
    <w:rsid w:val="7FFE5E09"/>
    <w:rsid w:val="7FFF84F5"/>
    <w:rsid w:val="A757ED5A"/>
    <w:rsid w:val="B7F7DEB1"/>
    <w:rsid w:val="BB73B4A3"/>
    <w:rsid w:val="BEBF95BE"/>
    <w:rsid w:val="BEF7AAC1"/>
    <w:rsid w:val="CF3CF861"/>
    <w:rsid w:val="CF7E8353"/>
    <w:rsid w:val="D35B462C"/>
    <w:rsid w:val="D771F771"/>
    <w:rsid w:val="DF3CF30F"/>
    <w:rsid w:val="DFB79874"/>
    <w:rsid w:val="DFFF0BF8"/>
    <w:rsid w:val="E77A55DE"/>
    <w:rsid w:val="E94F840D"/>
    <w:rsid w:val="EBFFB10A"/>
    <w:rsid w:val="EE3F9F4B"/>
    <w:rsid w:val="EFC85647"/>
    <w:rsid w:val="EFEFBC12"/>
    <w:rsid w:val="F7FB981A"/>
    <w:rsid w:val="F96DB2F3"/>
    <w:rsid w:val="F9FDBA82"/>
    <w:rsid w:val="F9FFBB9C"/>
    <w:rsid w:val="FC5F4283"/>
    <w:rsid w:val="FD65483A"/>
    <w:rsid w:val="FF595166"/>
    <w:rsid w:val="FF773327"/>
    <w:rsid w:val="FF7B821E"/>
    <w:rsid w:val="FFED429E"/>
    <w:rsid w:val="FFF30113"/>
    <w:rsid w:val="FFFFBE6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4"/>
    <w:qFormat/>
    <w:uiPriority w:val="0"/>
    <w:pPr>
      <w:keepNext/>
      <w:widowControl/>
      <w:numPr>
        <w:ilvl w:val="0"/>
        <w:numId w:val="1"/>
      </w:numPr>
      <w:spacing w:before="240" w:after="120"/>
      <w:jc w:val="left"/>
      <w:outlineLvl w:val="0"/>
    </w:pPr>
    <w:rPr>
      <w:b/>
      <w:caps/>
      <w:kern w:val="28"/>
      <w:sz w:val="24"/>
      <w:szCs w:val="20"/>
    </w:rPr>
  </w:style>
  <w:style w:type="paragraph" w:styleId="5">
    <w:name w:val="heading 2"/>
    <w:basedOn w:val="1"/>
    <w:next w:val="4"/>
    <w:unhideWhenUsed/>
    <w:qFormat/>
    <w:uiPriority w:val="9"/>
    <w:pPr>
      <w:keepNext/>
      <w:keepLines/>
      <w:spacing w:line="413" w:lineRule="auto"/>
      <w:outlineLvl w:val="1"/>
    </w:pPr>
    <w:rPr>
      <w:rFonts w:ascii="Arial" w:hAnsi="Arial" w:eastAsia="黑体"/>
      <w:b/>
      <w:sz w:val="32"/>
    </w:rPr>
  </w:style>
  <w:style w:type="paragraph" w:styleId="6">
    <w:name w:val="heading 3"/>
    <w:basedOn w:val="1"/>
    <w:next w:val="1"/>
    <w:unhideWhenUsed/>
    <w:qFormat/>
    <w:uiPriority w:val="9"/>
    <w:pPr>
      <w:keepNext/>
      <w:keepLines/>
      <w:spacing w:line="413" w:lineRule="auto"/>
      <w:outlineLvl w:val="2"/>
    </w:pPr>
    <w:rPr>
      <w:b/>
      <w:sz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4">
    <w:name w:val="Body Text"/>
    <w:basedOn w:val="1"/>
    <w:qFormat/>
    <w:uiPriority w:val="0"/>
    <w:rPr>
      <w:rFonts w:ascii="仿宋_GB2312" w:eastAsia="仿宋_GB2312"/>
      <w:sz w:val="28"/>
    </w:rPr>
  </w:style>
  <w:style w:type="paragraph" w:styleId="7">
    <w:name w:val="table of authorities"/>
    <w:basedOn w:val="1"/>
    <w:next w:val="1"/>
    <w:qFormat/>
    <w:uiPriority w:val="0"/>
    <w:pPr>
      <w:ind w:left="420" w:leftChars="200"/>
    </w:pPr>
    <w:rPr>
      <w:szCs w:val="21"/>
    </w:rPr>
  </w:style>
  <w:style w:type="paragraph" w:styleId="8">
    <w:name w:val="caption"/>
    <w:basedOn w:val="1"/>
    <w:next w:val="1"/>
    <w:semiHidden/>
    <w:unhideWhenUsed/>
    <w:qFormat/>
    <w:uiPriority w:val="35"/>
    <w:rPr>
      <w:rFonts w:ascii="Arial" w:hAnsi="Arial" w:eastAsia="黑体"/>
      <w:sz w:val="20"/>
    </w:rPr>
  </w:style>
  <w:style w:type="paragraph" w:styleId="9">
    <w:name w:val="annotation text"/>
    <w:basedOn w:val="1"/>
    <w:semiHidden/>
    <w:unhideWhenUsed/>
    <w:qFormat/>
    <w:uiPriority w:val="99"/>
    <w:pPr>
      <w:jc w:val="left"/>
    </w:pPr>
  </w:style>
  <w:style w:type="paragraph" w:styleId="10">
    <w:name w:val="Balloon Text"/>
    <w:basedOn w:val="1"/>
    <w:link w:val="30"/>
    <w:semiHidden/>
    <w:unhideWhenUsed/>
    <w:qFormat/>
    <w:uiPriority w:val="99"/>
    <w:rPr>
      <w:sz w:val="18"/>
      <w:szCs w:val="18"/>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23"/>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14">
    <w:name w:val="Normal (Web)"/>
    <w:basedOn w:val="1"/>
    <w:semiHidden/>
    <w:unhideWhenUsed/>
    <w:qFormat/>
    <w:uiPriority w:val="99"/>
    <w:pPr>
      <w:spacing w:beforeAutospacing="1" w:afterAutospacing="1"/>
      <w:jc w:val="left"/>
    </w:pPr>
    <w:rPr>
      <w:kern w:val="0"/>
      <w:sz w:val="24"/>
    </w:rPr>
  </w:style>
  <w:style w:type="paragraph" w:styleId="15">
    <w:name w:val="Title"/>
    <w:basedOn w:val="1"/>
    <w:next w:val="1"/>
    <w:link w:val="22"/>
    <w:qFormat/>
    <w:uiPriority w:val="10"/>
    <w:pPr>
      <w:spacing w:before="240" w:after="60"/>
      <w:jc w:val="center"/>
      <w:outlineLvl w:val="0"/>
    </w:pPr>
    <w:rPr>
      <w:rFonts w:asciiTheme="majorHAnsi" w:hAnsiTheme="majorHAnsi" w:cstheme="majorBidi"/>
      <w:b/>
      <w:bCs/>
      <w:sz w:val="32"/>
      <w:szCs w:val="32"/>
    </w:rPr>
  </w:style>
  <w:style w:type="paragraph" w:styleId="16">
    <w:name w:val="Body Text First Indent"/>
    <w:basedOn w:val="4"/>
    <w:qFormat/>
    <w:uiPriority w:val="0"/>
    <w:pPr>
      <w:ind w:firstLine="420" w:firstLineChars="100"/>
    </w:pPr>
    <w:rPr>
      <w:rFonts w:ascii="Times New Roman" w:eastAsia="宋体"/>
      <w:sz w:val="21"/>
    </w:rPr>
  </w:style>
  <w:style w:type="character" w:styleId="19">
    <w:name w:val="annotation reference"/>
    <w:basedOn w:val="18"/>
    <w:semiHidden/>
    <w:unhideWhenUsed/>
    <w:qFormat/>
    <w:uiPriority w:val="99"/>
    <w:rPr>
      <w:sz w:val="21"/>
      <w:szCs w:val="21"/>
    </w:rPr>
  </w:style>
  <w:style w:type="character" w:customStyle="1" w:styleId="20">
    <w:name w:val="列表编号 2A Char Char"/>
    <w:link w:val="21"/>
    <w:qFormat/>
    <w:uiPriority w:val="0"/>
    <w:rPr>
      <w:sz w:val="28"/>
    </w:rPr>
  </w:style>
  <w:style w:type="paragraph" w:customStyle="1" w:styleId="21">
    <w:name w:val="列表编号 2A"/>
    <w:basedOn w:val="1"/>
    <w:link w:val="20"/>
    <w:qFormat/>
    <w:uiPriority w:val="0"/>
    <w:pPr>
      <w:tabs>
        <w:tab w:val="left" w:pos="845"/>
      </w:tabs>
    </w:pPr>
    <w:rPr>
      <w:rFonts w:asciiTheme="minorHAnsi" w:hAnsiTheme="minorHAnsi" w:eastAsiaTheme="minorEastAsia" w:cstheme="minorBidi"/>
      <w:sz w:val="28"/>
      <w:szCs w:val="22"/>
    </w:rPr>
  </w:style>
  <w:style w:type="character" w:customStyle="1" w:styleId="22">
    <w:name w:val="标题 Char"/>
    <w:basedOn w:val="18"/>
    <w:link w:val="15"/>
    <w:qFormat/>
    <w:uiPriority w:val="10"/>
    <w:rPr>
      <w:rFonts w:eastAsia="宋体" w:asciiTheme="majorHAnsi" w:hAnsiTheme="majorHAnsi" w:cstheme="majorBidi"/>
      <w:b/>
      <w:bCs/>
      <w:sz w:val="32"/>
      <w:szCs w:val="32"/>
    </w:rPr>
  </w:style>
  <w:style w:type="character" w:customStyle="1" w:styleId="23">
    <w:name w:val="副标题 Char"/>
    <w:basedOn w:val="18"/>
    <w:link w:val="13"/>
    <w:qFormat/>
    <w:uiPriority w:val="11"/>
    <w:rPr>
      <w:rFonts w:eastAsia="宋体" w:asciiTheme="majorHAnsi" w:hAnsiTheme="majorHAnsi" w:cstheme="majorBidi"/>
      <w:b/>
      <w:bCs/>
      <w:kern w:val="28"/>
      <w:sz w:val="32"/>
      <w:szCs w:val="32"/>
    </w:rPr>
  </w:style>
  <w:style w:type="paragraph" w:customStyle="1" w:styleId="24">
    <w:name w:val="列出段落1"/>
    <w:basedOn w:val="1"/>
    <w:link w:val="27"/>
    <w:qFormat/>
    <w:uiPriority w:val="34"/>
    <w:pPr>
      <w:ind w:firstLine="420" w:firstLineChars="200"/>
    </w:pPr>
  </w:style>
  <w:style w:type="character" w:customStyle="1" w:styleId="25">
    <w:name w:val="页眉 Char"/>
    <w:basedOn w:val="18"/>
    <w:link w:val="12"/>
    <w:qFormat/>
    <w:uiPriority w:val="99"/>
    <w:rPr>
      <w:rFonts w:ascii="Times New Roman" w:hAnsi="Times New Roman" w:eastAsia="宋体" w:cs="Times New Roman"/>
      <w:sz w:val="18"/>
      <w:szCs w:val="18"/>
    </w:rPr>
  </w:style>
  <w:style w:type="character" w:customStyle="1" w:styleId="26">
    <w:name w:val="页脚 Char"/>
    <w:basedOn w:val="18"/>
    <w:link w:val="11"/>
    <w:qFormat/>
    <w:uiPriority w:val="99"/>
    <w:rPr>
      <w:rFonts w:ascii="Times New Roman" w:hAnsi="Times New Roman" w:eastAsia="宋体" w:cs="Times New Roman"/>
      <w:sz w:val="18"/>
      <w:szCs w:val="18"/>
    </w:rPr>
  </w:style>
  <w:style w:type="character" w:customStyle="1" w:styleId="27">
    <w:name w:val="List Paragraph Char"/>
    <w:link w:val="24"/>
    <w:qFormat/>
    <w:uiPriority w:val="34"/>
  </w:style>
  <w:style w:type="paragraph" w:customStyle="1" w:styleId="28">
    <w:name w:val="彩色列表 - 着色 11"/>
    <w:basedOn w:val="1"/>
    <w:qFormat/>
    <w:uiPriority w:val="34"/>
    <w:pPr>
      <w:ind w:firstLine="420" w:firstLineChars="200"/>
    </w:pPr>
    <w:rPr>
      <w:rFonts w:ascii="Calibri" w:hAnsi="Calibri"/>
      <w:szCs w:val="22"/>
    </w:rPr>
  </w:style>
  <w:style w:type="paragraph" w:customStyle="1" w:styleId="29">
    <w:name w:val="彩色列表1"/>
    <w:basedOn w:val="1"/>
    <w:qFormat/>
    <w:uiPriority w:val="34"/>
    <w:pPr>
      <w:ind w:firstLine="420" w:firstLineChars="200"/>
    </w:pPr>
    <w:rPr>
      <w:rFonts w:ascii="Calibri" w:hAnsi="Calibri"/>
      <w:szCs w:val="22"/>
    </w:rPr>
  </w:style>
  <w:style w:type="character" w:customStyle="1" w:styleId="30">
    <w:name w:val="批注框文本 Char"/>
    <w:basedOn w:val="18"/>
    <w:link w:val="10"/>
    <w:semiHidden/>
    <w:qFormat/>
    <w:uiPriority w:val="99"/>
    <w:rPr>
      <w:kern w:val="2"/>
      <w:sz w:val="18"/>
      <w:szCs w:val="18"/>
    </w:rPr>
  </w:style>
  <w:style w:type="paragraph" w:styleId="31">
    <w:name w:val="List Paragraph"/>
    <w:basedOn w:val="1"/>
    <w:unhideWhenUsed/>
    <w:qFormat/>
    <w:uiPriority w:val="99"/>
    <w:pPr>
      <w:ind w:firstLine="420" w:firstLineChars="200"/>
    </w:pPr>
  </w:style>
  <w:style w:type="character" w:customStyle="1" w:styleId="32">
    <w:name w:val="font01"/>
    <w:basedOn w:val="18"/>
    <w:qFormat/>
    <w:uiPriority w:val="0"/>
    <w:rPr>
      <w:rFonts w:hint="eastAsia" w:ascii="宋体" w:hAnsi="宋体" w:eastAsia="宋体" w:cs="宋体"/>
      <w:color w:val="000000"/>
      <w:sz w:val="24"/>
      <w:szCs w:val="24"/>
      <w:u w:val="none"/>
    </w:rPr>
  </w:style>
  <w:style w:type="character" w:customStyle="1" w:styleId="33">
    <w:name w:val="font11"/>
    <w:basedOn w:val="18"/>
    <w:qFormat/>
    <w:uiPriority w:val="0"/>
    <w:rPr>
      <w:rFonts w:hint="eastAsia" w:ascii="宋体" w:hAnsi="宋体" w:eastAsia="宋体" w:cs="宋体"/>
      <w:color w:val="000000"/>
      <w:sz w:val="22"/>
      <w:szCs w:val="22"/>
      <w:u w:val="none"/>
    </w:rPr>
  </w:style>
  <w:style w:type="character" w:customStyle="1" w:styleId="34">
    <w:name w:val="font21"/>
    <w:basedOn w:val="18"/>
    <w:qFormat/>
    <w:uiPriority w:val="0"/>
    <w:rPr>
      <w:rFonts w:hint="eastAsia" w:ascii="宋体" w:hAnsi="宋体" w:eastAsia="宋体" w:cs="宋体"/>
      <w:color w:val="000000"/>
      <w:sz w:val="22"/>
      <w:szCs w:val="22"/>
      <w:u w:val="none"/>
    </w:rPr>
  </w:style>
  <w:style w:type="character" w:customStyle="1" w:styleId="35">
    <w:name w:val="font71"/>
    <w:basedOn w:val="18"/>
    <w:qFormat/>
    <w:uiPriority w:val="0"/>
    <w:rPr>
      <w:rFonts w:hint="eastAsia" w:ascii="宋体" w:hAnsi="宋体" w:eastAsia="宋体" w:cs="宋体"/>
      <w:color w:val="000000"/>
      <w:sz w:val="22"/>
      <w:szCs w:val="22"/>
      <w:u w:val="none"/>
    </w:rPr>
  </w:style>
  <w:style w:type="paragraph" w:customStyle="1" w:styleId="36">
    <w:name w:val="CM91"/>
    <w:basedOn w:val="1"/>
    <w:next w:val="1"/>
    <w:qFormat/>
    <w:uiPriority w:val="0"/>
    <w:pPr>
      <w:autoSpaceDE w:val="0"/>
      <w:autoSpaceDN w:val="0"/>
      <w:adjustRightInd w:val="0"/>
      <w:jc w:val="left"/>
    </w:pPr>
    <w:rPr>
      <w:rFonts w:ascii="宋体" w:cs="宋体"/>
      <w:kern w:val="0"/>
      <w:sz w:val="24"/>
    </w:rPr>
  </w:style>
  <w:style w:type="character" w:customStyle="1" w:styleId="37">
    <w:name w:val="10"/>
    <w:basedOn w:val="18"/>
    <w:qFormat/>
    <w:uiPriority w:val="0"/>
    <w:rPr>
      <w:rFonts w:hint="default" w:ascii="Times New Roman" w:hAnsi="Times New Roman" w:cs="Times New Roman"/>
    </w:rPr>
  </w:style>
  <w:style w:type="character" w:customStyle="1" w:styleId="38">
    <w:name w:val="15"/>
    <w:basedOn w:val="1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17023</Words>
  <Characters>17443</Characters>
  <Lines>1</Lines>
  <Paragraphs>1</Paragraphs>
  <TotalTime>0</TotalTime>
  <ScaleCrop>false</ScaleCrop>
  <LinksUpToDate>false</LinksUpToDate>
  <CharactersWithSpaces>17497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2022-09-12T06:54:00Z</dcterms:created>
  <dc:creator>Microsoft 帐户</dc:creator>
  <cp:lastModifiedBy>WPS_1666896089</cp:lastModifiedBy>
  <cp:lastPrinted>2022-09-18T09:16:00Z</cp:lastPrinted>
  <dcterms:modified xsi:type="dcterms:W3CDTF">2023-10-25T14:03:27Z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983A94808D1C43F39C22A9F939E8B0E2</vt:lpwstr>
  </property>
</Properties>
</file>